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0A1A" w:rsidRPr="008D0759" w:rsidRDefault="00170A1A" w:rsidP="00923616">
      <w:pPr>
        <w:pStyle w:val="HStandard"/>
      </w:pPr>
      <w:r w:rsidRPr="008D0759">
        <w:rPr>
          <w:noProof/>
          <w:lang w:val="en-GB" w:eastAsia="en-GB"/>
        </w:rPr>
        <w:drawing>
          <wp:anchor distT="0" distB="0" distL="114300" distR="114300" simplePos="0" relativeHeight="251659264" behindDoc="1" locked="0" layoutInCell="1" allowOverlap="1" wp14:anchorId="38C3CFEB" wp14:editId="4D19F4FE">
            <wp:simplePos x="0" y="0"/>
            <wp:positionH relativeFrom="margin">
              <wp:posOffset>-1057910</wp:posOffset>
            </wp:positionH>
            <wp:positionV relativeFrom="margin">
              <wp:posOffset>-749300</wp:posOffset>
            </wp:positionV>
            <wp:extent cx="7561580" cy="10683240"/>
            <wp:effectExtent l="0" t="0" r="1270" b="381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sidRPr="008D0759">
        <w:rPr>
          <w:noProof/>
          <w:szCs w:val="24"/>
          <w:lang w:val="en-GB" w:eastAsia="en-GB"/>
        </w:rPr>
        <mc:AlternateContent>
          <mc:Choice Requires="wps">
            <w:drawing>
              <wp:anchor distT="0" distB="0" distL="114300" distR="114300" simplePos="0" relativeHeight="251661312" behindDoc="1" locked="0" layoutInCell="1" allowOverlap="1" wp14:anchorId="31D24F95" wp14:editId="01799418">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0A1A" w:rsidRPr="007C19BE" w:rsidRDefault="00170A1A" w:rsidP="00185B1D">
                            <w:pPr>
                              <w:pStyle w:val="HTitle1"/>
                              <w:rPr>
                                <w:rFonts w:ascii="Arial" w:hAnsi="Arial" w:cs="Arial"/>
                              </w:rPr>
                            </w:pPr>
                            <w:r>
                              <w:rPr>
                                <w:rFonts w:ascii="Arial" w:hAnsi="Arial"/>
                              </w:rPr>
                              <w:t>GUIDELINES</w:t>
                            </w:r>
                          </w:p>
                          <w:p w:rsidR="00170A1A" w:rsidRPr="002B46F3" w:rsidRDefault="00170A1A"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170A1A" w:rsidRPr="002B46F3" w:rsidRDefault="00170A1A" w:rsidP="00185B1D">
                            <w:pPr>
                              <w:pStyle w:val="HTitle2"/>
                              <w:rPr>
                                <w:rFonts w:ascii="Arial" w:hAnsi="Arial" w:cs="Arial"/>
                                <w:color w:val="262626" w:themeColor="text1" w:themeTint="D9"/>
                                <w:szCs w:val="40"/>
                              </w:rPr>
                            </w:pPr>
                          </w:p>
                          <w:p w:rsidR="00170A1A" w:rsidRPr="00712034" w:rsidRDefault="00170A1A" w:rsidP="00185B1D">
                            <w:pPr>
                              <w:pStyle w:val="HTitle3"/>
                              <w:rPr>
                                <w:color w:val="262626" w:themeColor="text1" w:themeTint="D9"/>
                              </w:rPr>
                            </w:pPr>
                            <w:r>
                              <w:rPr>
                                <w:color w:val="262626" w:themeColor="text1" w:themeTint="D9"/>
                              </w:rPr>
                              <w:t>JULY 2016</w:t>
                            </w:r>
                          </w:p>
                          <w:p w:rsidR="00170A1A" w:rsidRPr="00DE5388" w:rsidRDefault="00170A1A"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24F95"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170A1A" w:rsidRPr="007C19BE" w:rsidRDefault="00170A1A" w:rsidP="00185B1D">
                      <w:pPr>
                        <w:pStyle w:val="HTitle1"/>
                        <w:rPr>
                          <w:rFonts w:ascii="Arial" w:hAnsi="Arial" w:cs="Arial"/>
                        </w:rPr>
                      </w:pPr>
                      <w:r>
                        <w:rPr>
                          <w:rFonts w:ascii="Arial" w:hAnsi="Arial"/>
                        </w:rPr>
                        <w:t>GUIDELINES</w:t>
                      </w:r>
                    </w:p>
                    <w:p w:rsidR="00170A1A" w:rsidRPr="002B46F3" w:rsidRDefault="00170A1A"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170A1A" w:rsidRPr="002B46F3" w:rsidRDefault="00170A1A" w:rsidP="00185B1D">
                      <w:pPr>
                        <w:pStyle w:val="HTitle2"/>
                        <w:rPr>
                          <w:rFonts w:ascii="Arial" w:hAnsi="Arial" w:cs="Arial"/>
                          <w:color w:val="262626" w:themeColor="text1" w:themeTint="D9"/>
                          <w:szCs w:val="40"/>
                        </w:rPr>
                      </w:pPr>
                    </w:p>
                    <w:p w:rsidR="00170A1A" w:rsidRPr="00712034" w:rsidRDefault="00170A1A" w:rsidP="00185B1D">
                      <w:pPr>
                        <w:pStyle w:val="HTitle3"/>
                        <w:rPr>
                          <w:color w:val="262626" w:themeColor="text1" w:themeTint="D9"/>
                        </w:rPr>
                      </w:pPr>
                      <w:r>
                        <w:rPr>
                          <w:color w:val="262626" w:themeColor="text1" w:themeTint="D9"/>
                        </w:rPr>
                        <w:t>JULY 2016</w:t>
                      </w:r>
                    </w:p>
                    <w:p w:rsidR="00170A1A" w:rsidRPr="00DE5388" w:rsidRDefault="00170A1A" w:rsidP="00185B1D">
                      <w:pPr>
                        <w:pStyle w:val="HTitle3"/>
                      </w:pPr>
                    </w:p>
                  </w:txbxContent>
                </v:textbox>
                <w10:wrap type="tight" anchorx="page" anchory="page"/>
              </v:shape>
            </w:pict>
          </mc:Fallback>
        </mc:AlternateContent>
      </w:r>
      <w:r>
        <w:br w:type="page"/>
      </w:r>
    </w:p>
    <w:p w:rsidR="00170A1A" w:rsidRPr="008D0759" w:rsidRDefault="00170A1A" w:rsidP="00923616">
      <w:pPr>
        <w:pStyle w:val="HStandard"/>
      </w:pPr>
    </w:p>
    <w:p w:rsidR="00170A1A" w:rsidRPr="008D0759" w:rsidRDefault="00170A1A" w:rsidP="00923616">
      <w:pPr>
        <w:pStyle w:val="HStandard"/>
      </w:pPr>
    </w:p>
    <w:p w:rsidR="00170A1A" w:rsidRPr="008D0759" w:rsidRDefault="00170A1A" w:rsidP="00923616">
      <w:pPr>
        <w:pStyle w:val="HStandard"/>
      </w:pPr>
    </w:p>
    <w:p w:rsidR="00170A1A" w:rsidRPr="008D0759" w:rsidRDefault="00170A1A" w:rsidP="00923616">
      <w:pPr>
        <w:pStyle w:val="HStandard"/>
      </w:pPr>
    </w:p>
    <w:p w:rsidR="00170A1A" w:rsidRDefault="00170A1A">
      <w:pPr>
        <w:spacing w:after="0" w:line="240" w:lineRule="auto"/>
        <w:rPr>
          <w:rFonts w:cs="Arial"/>
          <w:color w:val="576C88" w:themeColor="text2" w:themeTint="D9"/>
          <w:sz w:val="20"/>
          <w:szCs w:val="20"/>
        </w:rPr>
      </w:pPr>
      <w:r w:rsidRPr="008D0759">
        <w:rPr>
          <w:noProof/>
          <w:lang w:eastAsia="en-GB"/>
        </w:rPr>
        <mc:AlternateContent>
          <mc:Choice Requires="wps">
            <w:drawing>
              <wp:anchor distT="0" distB="0" distL="114300" distR="114300" simplePos="0" relativeHeight="251660288" behindDoc="0" locked="0" layoutInCell="1" allowOverlap="1" wp14:anchorId="3EF33D57" wp14:editId="61E58CA0">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Copyright notice</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 European Union, 2016</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170A1A" w:rsidRPr="002B46F3" w:rsidRDefault="00170A1A"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Disclaimer:</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170A1A" w:rsidRPr="002B46F3" w:rsidRDefault="00170A1A" w:rsidP="005B24FC">
                            <w:pPr>
                              <w:pStyle w:val="Hdisclaimer"/>
                              <w:tabs>
                                <w:tab w:val="right" w:pos="10065"/>
                              </w:tabs>
                              <w:rPr>
                                <w:rFonts w:ascii="Arial" w:hAnsi="Arial"/>
                                <w:color w:val="262626" w:themeColor="text1" w:themeTint="D9"/>
                              </w:rPr>
                            </w:pPr>
                            <w:r w:rsidRPr="002B46F3">
                              <w:rPr>
                                <w:rFonts w:ascii="Arial" w:hAnsi="Arial"/>
                                <w:noProof/>
                                <w:color w:val="262626" w:themeColor="text1" w:themeTint="D9"/>
                                <w:lang w:val="en-GB" w:eastAsia="en-GB"/>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olor w:val="262626" w:themeColor="text1" w:themeTint="D9"/>
                              </w:rPr>
                              <w:tab/>
                            </w:r>
                            <w:r w:rsidRPr="002B46F3">
                              <w:rPr>
                                <w:rFonts w:ascii="Arial" w:hAnsi="Arial"/>
                                <w:noProof/>
                                <w:color w:val="262626" w:themeColor="text1" w:themeTint="D9"/>
                                <w:lang w:val="en-GB" w:eastAsia="en-GB"/>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3D57"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Copyright notice</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 European Union, 2016</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170A1A" w:rsidRPr="002B46F3" w:rsidRDefault="00170A1A"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Disclaimer:</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170A1A" w:rsidRPr="002B46F3" w:rsidRDefault="00170A1A" w:rsidP="005B24FC">
                      <w:pPr>
                        <w:pStyle w:val="Hdisclaimer"/>
                        <w:tabs>
                          <w:tab w:val="right" w:pos="10065"/>
                        </w:tabs>
                        <w:rPr>
                          <w:rFonts w:ascii="Arial" w:hAnsi="Arial"/>
                          <w:color w:val="262626" w:themeColor="text1" w:themeTint="D9"/>
                        </w:rPr>
                      </w:pPr>
                      <w:r w:rsidRPr="002B46F3">
                        <w:rPr>
                          <w:rFonts w:ascii="Arial" w:hAnsi="Arial"/>
                          <w:noProof/>
                          <w:color w:val="262626" w:themeColor="text1" w:themeTint="D9"/>
                          <w:lang w:val="en-GB" w:eastAsia="en-GB"/>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olor w:val="262626" w:themeColor="text1" w:themeTint="D9"/>
                        </w:rPr>
                        <w:tab/>
                      </w:r>
                      <w:r w:rsidRPr="002B46F3">
                        <w:rPr>
                          <w:rFonts w:ascii="Arial" w:hAnsi="Arial"/>
                          <w:noProof/>
                          <w:color w:val="262626" w:themeColor="text1" w:themeTint="D9"/>
                          <w:lang w:val="en-GB" w:eastAsia="en-GB"/>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170A1A" w:rsidRPr="002B46F3" w:rsidRDefault="00170A1A"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br w:type="page"/>
      </w:r>
    </w:p>
    <w:p w:rsidR="00170A1A" w:rsidRPr="008D0759" w:rsidRDefault="00170A1A" w:rsidP="00923616">
      <w:pPr>
        <w:pStyle w:val="HStandard"/>
        <w:sectPr w:rsidR="00170A1A" w:rsidRPr="008D0759" w:rsidSect="00267059">
          <w:pgSz w:w="11906" w:h="16838"/>
          <w:pgMar w:top="1440" w:right="1440" w:bottom="1440" w:left="1440" w:header="708" w:footer="708" w:gutter="0"/>
          <w:cols w:space="708"/>
          <w:docGrid w:linePitch="360"/>
        </w:sectPr>
      </w:pPr>
      <w:r w:rsidRPr="008D0759">
        <w:rPr>
          <w:noProof/>
          <w:lang w:val="en-GB" w:eastAsia="en-GB"/>
        </w:rPr>
        <w:lastRenderedPageBreak/>
        <mc:AlternateContent>
          <mc:Choice Requires="wps">
            <w:drawing>
              <wp:anchor distT="0" distB="0" distL="114300" distR="114300" simplePos="0" relativeHeight="251662336" behindDoc="1" locked="0" layoutInCell="1" allowOverlap="1" wp14:anchorId="66E036D2" wp14:editId="42A40123">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0A1A" w:rsidRPr="007C19BE" w:rsidRDefault="00170A1A" w:rsidP="00F10C08">
                            <w:pPr>
                              <w:pStyle w:val="HTitle1"/>
                              <w:rPr>
                                <w:rFonts w:ascii="Arial" w:hAnsi="Arial" w:cs="Arial"/>
                              </w:rPr>
                            </w:pPr>
                            <w:r>
                              <w:rPr>
                                <w:rFonts w:ascii="Arial" w:hAnsi="Arial"/>
                              </w:rPr>
                              <w:t>GUIDELINES</w:t>
                            </w:r>
                          </w:p>
                          <w:p w:rsidR="00170A1A" w:rsidRPr="002B46F3" w:rsidRDefault="00170A1A"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170A1A" w:rsidRPr="002B46F3" w:rsidRDefault="00170A1A" w:rsidP="00F10C08">
                            <w:pPr>
                              <w:pStyle w:val="HTitle2"/>
                              <w:rPr>
                                <w:rFonts w:ascii="Arial" w:hAnsi="Arial" w:cs="Arial"/>
                                <w:color w:val="262626" w:themeColor="text1" w:themeTint="D9"/>
                                <w:szCs w:val="40"/>
                              </w:rPr>
                            </w:pPr>
                          </w:p>
                          <w:p w:rsidR="00170A1A" w:rsidRPr="00DE5388" w:rsidRDefault="00170A1A"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36D2"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170A1A" w:rsidRPr="007C19BE" w:rsidRDefault="00170A1A" w:rsidP="00F10C08">
                      <w:pPr>
                        <w:pStyle w:val="HTitle1"/>
                        <w:rPr>
                          <w:rFonts w:ascii="Arial" w:hAnsi="Arial" w:cs="Arial"/>
                        </w:rPr>
                      </w:pPr>
                      <w:r>
                        <w:rPr>
                          <w:rFonts w:ascii="Arial" w:hAnsi="Arial"/>
                        </w:rPr>
                        <w:t>GUIDELINES</w:t>
                      </w:r>
                    </w:p>
                    <w:p w:rsidR="00170A1A" w:rsidRPr="002B46F3" w:rsidRDefault="00170A1A"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170A1A" w:rsidRPr="002B46F3" w:rsidRDefault="00170A1A" w:rsidP="00F10C08">
                      <w:pPr>
                        <w:pStyle w:val="HTitle2"/>
                        <w:rPr>
                          <w:rFonts w:ascii="Arial" w:hAnsi="Arial" w:cs="Arial"/>
                          <w:color w:val="262626" w:themeColor="text1" w:themeTint="D9"/>
                          <w:szCs w:val="40"/>
                        </w:rPr>
                      </w:pPr>
                    </w:p>
                    <w:p w:rsidR="00170A1A" w:rsidRPr="00DE5388" w:rsidRDefault="00170A1A" w:rsidP="00F10C08">
                      <w:pPr>
                        <w:pStyle w:val="HTitle3"/>
                      </w:pPr>
                      <w:r>
                        <w:t>JULY 2016</w:t>
                      </w:r>
                    </w:p>
                  </w:txbxContent>
                </v:textbox>
                <w10:wrap type="tight" anchorx="page" anchory="page"/>
              </v:shape>
            </w:pict>
          </mc:Fallback>
        </mc:AlternateContent>
      </w:r>
    </w:p>
    <w:p w:rsidR="00170A1A" w:rsidRDefault="00170A1A">
      <w:pPr>
        <w:spacing w:after="0" w:line="240" w:lineRule="auto"/>
        <w:rPr>
          <w:rFonts w:cs="Arial"/>
          <w:b/>
          <w:bCs/>
          <w:caps/>
          <w:color w:val="F07E31"/>
          <w:kern w:val="32"/>
          <w:sz w:val="20"/>
          <w:szCs w:val="32"/>
        </w:rPr>
      </w:pPr>
      <w:r>
        <w:lastRenderedPageBreak/>
        <w:br w:type="page"/>
      </w:r>
    </w:p>
    <w:p w:rsidR="00170A1A" w:rsidRPr="008D0759" w:rsidRDefault="00170A1A" w:rsidP="000B62C2">
      <w:pPr>
        <w:pStyle w:val="HContent"/>
        <w:rPr>
          <w:rFonts w:ascii="Arial" w:hAnsi="Arial"/>
        </w:rPr>
      </w:pPr>
      <w:r>
        <w:rPr>
          <w:rFonts w:ascii="Arial" w:hAnsi="Arial"/>
        </w:rPr>
        <w:lastRenderedPageBreak/>
        <w:t>Content</w:t>
      </w:r>
    </w:p>
    <w:p w:rsidR="00170A1A" w:rsidRDefault="00170A1A">
      <w:pPr>
        <w:pStyle w:val="TOC1"/>
        <w:rPr>
          <w:rFonts w:asciiTheme="minorHAnsi" w:eastAsiaTheme="minorEastAsia" w:hAnsiTheme="minorHAnsi" w:cstheme="minorBidi"/>
          <w:color w:val="auto"/>
          <w:sz w:val="22"/>
          <w:szCs w:val="22"/>
          <w:lang w:val="en-GB" w:eastAsia="en-GB"/>
        </w:rPr>
      </w:pPr>
      <w:r w:rsidRPr="00450DBF">
        <w:rPr>
          <w:color w:val="576C88" w:themeColor="text2" w:themeTint="D9"/>
        </w:rPr>
        <w:fldChar w:fldCharType="begin"/>
      </w:r>
      <w:r w:rsidRPr="00450DBF">
        <w:rPr>
          <w:color w:val="576C88" w:themeColor="text2" w:themeTint="D9"/>
        </w:rPr>
        <w:instrText xml:space="preserve"> TOC \h \z \t "H_Heading 1;1;H_Heading 2;2;H_Heading 3;3;H_Heading 9;1" </w:instrText>
      </w:r>
      <w:r w:rsidRPr="00450DBF">
        <w:rPr>
          <w:color w:val="576C88" w:themeColor="text2" w:themeTint="D9"/>
        </w:rPr>
        <w:fldChar w:fldCharType="separate"/>
      </w:r>
      <w:hyperlink w:anchor="_Toc464410777" w:history="1">
        <w:r w:rsidRPr="00416A64">
          <w:rPr>
            <w:rStyle w:val="Hyperlink"/>
            <w:rFonts w:cs="Arial"/>
            <w:highlight w:val="yellow"/>
          </w:rPr>
          <w:t>1</w:t>
        </w:r>
        <w:r>
          <w:rPr>
            <w:rFonts w:asciiTheme="minorHAnsi" w:eastAsiaTheme="minorEastAsia" w:hAnsiTheme="minorHAnsi" w:cstheme="minorBidi"/>
            <w:color w:val="auto"/>
            <w:sz w:val="22"/>
            <w:szCs w:val="22"/>
            <w:lang w:val="en-GB" w:eastAsia="en-GB"/>
          </w:rPr>
          <w:tab/>
        </w:r>
        <w:r w:rsidRPr="00416A64">
          <w:rPr>
            <w:rStyle w:val="Hyperlink"/>
            <w:highlight w:val="yellow"/>
          </w:rPr>
          <w:t>BEVEZETÉS</w:t>
        </w:r>
        <w:r>
          <w:rPr>
            <w:webHidden/>
          </w:rPr>
          <w:tab/>
        </w:r>
        <w:r>
          <w:rPr>
            <w:webHidden/>
          </w:rPr>
          <w:fldChar w:fldCharType="begin"/>
        </w:r>
        <w:r>
          <w:rPr>
            <w:webHidden/>
          </w:rPr>
          <w:instrText xml:space="preserve"> PAGEREF _Toc464410777 \h </w:instrText>
        </w:r>
        <w:r>
          <w:rPr>
            <w:webHidden/>
          </w:rPr>
        </w:r>
        <w:r>
          <w:rPr>
            <w:webHidden/>
          </w:rPr>
          <w:fldChar w:fldCharType="separate"/>
        </w:r>
        <w:r>
          <w:rPr>
            <w:webHidden/>
          </w:rPr>
          <w:t>12</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778" w:history="1">
        <w:r w:rsidRPr="00416A64">
          <w:rPr>
            <w:rStyle w:val="Hyperlink"/>
            <w:highlight w:val="yellow"/>
          </w:rPr>
          <w:t>1.1</w:t>
        </w:r>
        <w:r>
          <w:rPr>
            <w:rFonts w:asciiTheme="minorHAnsi" w:eastAsiaTheme="minorEastAsia" w:hAnsiTheme="minorHAnsi" w:cstheme="minorBidi"/>
            <w:color w:val="auto"/>
            <w:sz w:val="22"/>
            <w:lang w:val="en-GB" w:eastAsia="en-GB"/>
          </w:rPr>
          <w:tab/>
        </w:r>
        <w:r w:rsidRPr="00416A64">
          <w:rPr>
            <w:rStyle w:val="Hyperlink"/>
            <w:highlight w:val="yellow"/>
          </w:rPr>
          <w:t>A nemzeti vidékfejlesztési hálózatok értékelésére vonatkozó iránymutatás</w:t>
        </w:r>
        <w:r>
          <w:rPr>
            <w:webHidden/>
          </w:rPr>
          <w:tab/>
        </w:r>
        <w:r>
          <w:rPr>
            <w:webHidden/>
          </w:rPr>
          <w:fldChar w:fldCharType="begin"/>
        </w:r>
        <w:r>
          <w:rPr>
            <w:webHidden/>
          </w:rPr>
          <w:instrText xml:space="preserve"> PAGEREF _Toc464410778 \h </w:instrText>
        </w:r>
        <w:r>
          <w:rPr>
            <w:webHidden/>
          </w:rPr>
        </w:r>
        <w:r>
          <w:rPr>
            <w:webHidden/>
          </w:rPr>
          <w:fldChar w:fldCharType="separate"/>
        </w:r>
        <w:r>
          <w:rPr>
            <w:webHidden/>
          </w:rPr>
          <w:t>12</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779" w:history="1">
        <w:r w:rsidRPr="00416A64">
          <w:rPr>
            <w:rStyle w:val="Hyperlink"/>
            <w:highlight w:val="yellow"/>
          </w:rPr>
          <w:t>1.2</w:t>
        </w:r>
        <w:r>
          <w:rPr>
            <w:rFonts w:asciiTheme="minorHAnsi" w:eastAsiaTheme="minorEastAsia" w:hAnsiTheme="minorHAnsi" w:cstheme="minorBidi"/>
            <w:color w:val="auto"/>
            <w:sz w:val="22"/>
            <w:lang w:val="en-GB" w:eastAsia="en-GB"/>
          </w:rPr>
          <w:tab/>
        </w:r>
        <w:r w:rsidRPr="00416A64">
          <w:rPr>
            <w:rStyle w:val="Hyperlink"/>
            <w:highlight w:val="yellow"/>
          </w:rPr>
          <w:t>Hálózatok és hálózatépítés az Európai Unió vidékfejlesztési politikájában</w:t>
        </w:r>
        <w:r>
          <w:rPr>
            <w:webHidden/>
          </w:rPr>
          <w:tab/>
        </w:r>
        <w:r>
          <w:rPr>
            <w:webHidden/>
          </w:rPr>
          <w:fldChar w:fldCharType="begin"/>
        </w:r>
        <w:r>
          <w:rPr>
            <w:webHidden/>
          </w:rPr>
          <w:instrText xml:space="preserve"> PAGEREF _Toc464410779 \h </w:instrText>
        </w:r>
        <w:r>
          <w:rPr>
            <w:webHidden/>
          </w:rPr>
        </w:r>
        <w:r>
          <w:rPr>
            <w:webHidden/>
          </w:rPr>
          <w:fldChar w:fldCharType="separate"/>
        </w:r>
        <w:r>
          <w:rPr>
            <w:webHidden/>
          </w:rPr>
          <w:t>14</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780" w:history="1">
        <w:r w:rsidRPr="00416A64">
          <w:rPr>
            <w:rStyle w:val="Hyperlink"/>
            <w:highlight w:val="yellow"/>
          </w:rPr>
          <w:t>1.3</w:t>
        </w:r>
        <w:r>
          <w:rPr>
            <w:rFonts w:asciiTheme="minorHAnsi" w:eastAsiaTheme="minorEastAsia" w:hAnsiTheme="minorHAnsi" w:cstheme="minorBidi"/>
            <w:color w:val="auto"/>
            <w:sz w:val="22"/>
            <w:lang w:val="en-GB" w:eastAsia="en-GB"/>
          </w:rPr>
          <w:tab/>
        </w:r>
        <w:r w:rsidRPr="00416A64">
          <w:rPr>
            <w:rStyle w:val="Hyperlink"/>
            <w:highlight w:val="yellow"/>
          </w:rPr>
          <w:t>Miért és hogyan kell végrehajtani az NVH-k értékelését?</w:t>
        </w:r>
        <w:r>
          <w:rPr>
            <w:webHidden/>
          </w:rPr>
          <w:tab/>
        </w:r>
        <w:r>
          <w:rPr>
            <w:webHidden/>
          </w:rPr>
          <w:fldChar w:fldCharType="begin"/>
        </w:r>
        <w:r>
          <w:rPr>
            <w:webHidden/>
          </w:rPr>
          <w:instrText xml:space="preserve"> PAGEREF _Toc464410780 \h </w:instrText>
        </w:r>
        <w:r>
          <w:rPr>
            <w:webHidden/>
          </w:rPr>
        </w:r>
        <w:r>
          <w:rPr>
            <w:webHidden/>
          </w:rPr>
          <w:fldChar w:fldCharType="separate"/>
        </w:r>
        <w:r>
          <w:rPr>
            <w:webHidden/>
          </w:rPr>
          <w:t>19</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781" w:history="1">
        <w:r w:rsidRPr="00416A64">
          <w:rPr>
            <w:rStyle w:val="Hyperlink"/>
            <w:highlight w:val="yellow"/>
          </w:rPr>
          <w:t>1.4</w:t>
        </w:r>
        <w:r>
          <w:rPr>
            <w:rFonts w:asciiTheme="minorHAnsi" w:eastAsiaTheme="minorEastAsia" w:hAnsiTheme="minorHAnsi" w:cstheme="minorBidi"/>
            <w:color w:val="auto"/>
            <w:sz w:val="22"/>
            <w:lang w:val="en-GB" w:eastAsia="en-GB"/>
          </w:rPr>
          <w:tab/>
        </w:r>
        <w:r w:rsidRPr="00416A64">
          <w:rPr>
            <w:rStyle w:val="Hyperlink"/>
            <w:highlight w:val="yellow"/>
          </w:rPr>
          <w:t>Az Európai Unió vidékfejlesztési politikája keretében végrehajtott NVH-értékelés követelményei</w:t>
        </w:r>
        <w:r>
          <w:rPr>
            <w:webHidden/>
          </w:rPr>
          <w:tab/>
        </w:r>
        <w:r>
          <w:rPr>
            <w:webHidden/>
          </w:rPr>
          <w:fldChar w:fldCharType="begin"/>
        </w:r>
        <w:r>
          <w:rPr>
            <w:webHidden/>
          </w:rPr>
          <w:instrText xml:space="preserve"> PAGEREF _Toc464410781 \h </w:instrText>
        </w:r>
        <w:r>
          <w:rPr>
            <w:webHidden/>
          </w:rPr>
        </w:r>
        <w:r>
          <w:rPr>
            <w:webHidden/>
          </w:rPr>
          <w:fldChar w:fldCharType="separate"/>
        </w:r>
        <w:r>
          <w:rPr>
            <w:webHidden/>
          </w:rPr>
          <w:t>22</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82" w:history="1">
        <w:r w:rsidRPr="00416A64">
          <w:rPr>
            <w:rStyle w:val="Hyperlink"/>
            <w:highlight w:val="yellow"/>
          </w:rPr>
          <w:t>1.4.1</w:t>
        </w:r>
        <w:r>
          <w:rPr>
            <w:rFonts w:asciiTheme="minorHAnsi" w:eastAsiaTheme="minorEastAsia" w:hAnsiTheme="minorHAnsi" w:cstheme="minorBidi"/>
            <w:color w:val="auto"/>
            <w:sz w:val="22"/>
            <w:szCs w:val="22"/>
            <w:lang w:val="en-GB" w:eastAsia="en-GB"/>
          </w:rPr>
          <w:tab/>
        </w:r>
        <w:r w:rsidRPr="00416A64">
          <w:rPr>
            <w:rStyle w:val="Hyperlink"/>
            <w:highlight w:val="yellow"/>
          </w:rPr>
          <w:t>Az értékelésre és jelentéskészítésre vonatkozó jogszabályi előírások ütemterve</w:t>
        </w:r>
        <w:r>
          <w:rPr>
            <w:webHidden/>
          </w:rPr>
          <w:tab/>
        </w:r>
        <w:r>
          <w:rPr>
            <w:webHidden/>
          </w:rPr>
          <w:fldChar w:fldCharType="begin"/>
        </w:r>
        <w:r>
          <w:rPr>
            <w:webHidden/>
          </w:rPr>
          <w:instrText xml:space="preserve"> PAGEREF _Toc464410782 \h </w:instrText>
        </w:r>
        <w:r>
          <w:rPr>
            <w:webHidden/>
          </w:rPr>
        </w:r>
        <w:r>
          <w:rPr>
            <w:webHidden/>
          </w:rPr>
          <w:fldChar w:fldCharType="separate"/>
        </w:r>
        <w:r>
          <w:rPr>
            <w:webHidden/>
          </w:rPr>
          <w:t>22</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83" w:history="1">
        <w:r w:rsidRPr="00416A64">
          <w:rPr>
            <w:rStyle w:val="Hyperlink"/>
            <w:highlight w:val="yellow"/>
          </w:rPr>
          <w:t>1.4.2</w:t>
        </w:r>
        <w:r>
          <w:rPr>
            <w:rFonts w:asciiTheme="minorHAnsi" w:eastAsiaTheme="minorEastAsia" w:hAnsiTheme="minorHAnsi" w:cstheme="minorBidi"/>
            <w:color w:val="auto"/>
            <w:sz w:val="22"/>
            <w:szCs w:val="22"/>
            <w:lang w:val="en-GB" w:eastAsia="en-GB"/>
          </w:rPr>
          <w:tab/>
        </w:r>
        <w:r w:rsidRPr="00416A64">
          <w:rPr>
            <w:rStyle w:val="Hyperlink"/>
            <w:highlight w:val="yellow"/>
          </w:rPr>
          <w:t>Az NVH-k értékelésének központi kérdése: mit kell értékelni?</w:t>
        </w:r>
        <w:r>
          <w:rPr>
            <w:webHidden/>
          </w:rPr>
          <w:tab/>
        </w:r>
        <w:r>
          <w:rPr>
            <w:webHidden/>
          </w:rPr>
          <w:fldChar w:fldCharType="begin"/>
        </w:r>
        <w:r>
          <w:rPr>
            <w:webHidden/>
          </w:rPr>
          <w:instrText xml:space="preserve"> PAGEREF _Toc464410783 \h </w:instrText>
        </w:r>
        <w:r>
          <w:rPr>
            <w:webHidden/>
          </w:rPr>
        </w:r>
        <w:r>
          <w:rPr>
            <w:webHidden/>
          </w:rPr>
          <w:fldChar w:fldCharType="separate"/>
        </w:r>
        <w:r>
          <w:rPr>
            <w:webHidden/>
          </w:rPr>
          <w:t>23</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84" w:history="1">
        <w:r w:rsidRPr="00416A64">
          <w:rPr>
            <w:rStyle w:val="Hyperlink"/>
            <w:highlight w:val="yellow"/>
          </w:rPr>
          <w:t>1.4.3</w:t>
        </w:r>
        <w:r>
          <w:rPr>
            <w:rFonts w:asciiTheme="minorHAnsi" w:eastAsiaTheme="minorEastAsia" w:hAnsiTheme="minorHAnsi" w:cstheme="minorBidi"/>
            <w:color w:val="auto"/>
            <w:sz w:val="22"/>
            <w:szCs w:val="22"/>
            <w:lang w:val="en-GB" w:eastAsia="en-GB"/>
          </w:rPr>
          <w:tab/>
        </w:r>
        <w:r w:rsidRPr="00416A64">
          <w:rPr>
            <w:rStyle w:val="Hyperlink"/>
            <w:highlight w:val="yellow"/>
          </w:rPr>
          <w:t>Az NVH-k értékelésének elemei</w:t>
        </w:r>
        <w:r>
          <w:rPr>
            <w:webHidden/>
          </w:rPr>
          <w:tab/>
        </w:r>
        <w:r>
          <w:rPr>
            <w:webHidden/>
          </w:rPr>
          <w:fldChar w:fldCharType="begin"/>
        </w:r>
        <w:r>
          <w:rPr>
            <w:webHidden/>
          </w:rPr>
          <w:instrText xml:space="preserve"> PAGEREF _Toc464410784 \h </w:instrText>
        </w:r>
        <w:r>
          <w:rPr>
            <w:webHidden/>
          </w:rPr>
        </w:r>
        <w:r>
          <w:rPr>
            <w:webHidden/>
          </w:rPr>
          <w:fldChar w:fldCharType="separate"/>
        </w:r>
        <w:r>
          <w:rPr>
            <w:webHidden/>
          </w:rPr>
          <w:t>30</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785" w:history="1">
        <w:r w:rsidRPr="00416A64">
          <w:rPr>
            <w:rStyle w:val="Hyperlink"/>
            <w:rFonts w:cs="Arial"/>
            <w:highlight w:val="yellow"/>
          </w:rPr>
          <w:t>2</w:t>
        </w:r>
        <w:r>
          <w:rPr>
            <w:rFonts w:asciiTheme="minorHAnsi" w:eastAsiaTheme="minorEastAsia" w:hAnsiTheme="minorHAnsi" w:cstheme="minorBidi"/>
            <w:color w:val="auto"/>
            <w:sz w:val="22"/>
            <w:szCs w:val="22"/>
            <w:lang w:val="en-GB" w:eastAsia="en-GB"/>
          </w:rPr>
          <w:tab/>
        </w:r>
        <w:r w:rsidRPr="00416A64">
          <w:rPr>
            <w:rStyle w:val="Hyperlink"/>
            <w:highlight w:val="yellow"/>
          </w:rPr>
          <w:t>I. RÉSZ – AZ NVH-ÉRTÉKELÉS LEBONYOLÍTÁSA</w:t>
        </w:r>
        <w:r>
          <w:rPr>
            <w:webHidden/>
          </w:rPr>
          <w:tab/>
        </w:r>
        <w:r>
          <w:rPr>
            <w:webHidden/>
          </w:rPr>
          <w:fldChar w:fldCharType="begin"/>
        </w:r>
        <w:r>
          <w:rPr>
            <w:webHidden/>
          </w:rPr>
          <w:instrText xml:space="preserve"> PAGEREF _Toc464410785 \h </w:instrText>
        </w:r>
        <w:r>
          <w:rPr>
            <w:webHidden/>
          </w:rPr>
        </w:r>
        <w:r>
          <w:rPr>
            <w:webHidden/>
          </w:rPr>
          <w:fldChar w:fldCharType="separate"/>
        </w:r>
        <w:r>
          <w:rPr>
            <w:webHidden/>
          </w:rPr>
          <w:t>35</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786" w:history="1">
        <w:r w:rsidRPr="00416A64">
          <w:rPr>
            <w:rStyle w:val="Hyperlink"/>
            <w:highlight w:val="yellow"/>
          </w:rPr>
          <w:t>2.1</w:t>
        </w:r>
        <w:r>
          <w:rPr>
            <w:rFonts w:asciiTheme="minorHAnsi" w:eastAsiaTheme="minorEastAsia" w:hAnsiTheme="minorHAnsi" w:cstheme="minorBidi"/>
            <w:color w:val="auto"/>
            <w:sz w:val="22"/>
            <w:lang w:val="en-GB" w:eastAsia="en-GB"/>
          </w:rPr>
          <w:tab/>
        </w:r>
        <w:r w:rsidRPr="00416A64">
          <w:rPr>
            <w:rStyle w:val="Hyperlink"/>
            <w:highlight w:val="yellow"/>
          </w:rPr>
          <w:t>Kik és milyen szerepben vesznek részt az NVH-k értékelésében?</w:t>
        </w:r>
        <w:r>
          <w:rPr>
            <w:webHidden/>
          </w:rPr>
          <w:tab/>
        </w:r>
        <w:r>
          <w:rPr>
            <w:webHidden/>
          </w:rPr>
          <w:fldChar w:fldCharType="begin"/>
        </w:r>
        <w:r>
          <w:rPr>
            <w:webHidden/>
          </w:rPr>
          <w:instrText xml:space="preserve"> PAGEREF _Toc464410786 \h </w:instrText>
        </w:r>
        <w:r>
          <w:rPr>
            <w:webHidden/>
          </w:rPr>
        </w:r>
        <w:r>
          <w:rPr>
            <w:webHidden/>
          </w:rPr>
          <w:fldChar w:fldCharType="separate"/>
        </w:r>
        <w:r>
          <w:rPr>
            <w:webHidden/>
          </w:rPr>
          <w:t>35</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87" w:history="1">
        <w:r w:rsidRPr="00416A64">
          <w:rPr>
            <w:rStyle w:val="Hyperlink"/>
            <w:highlight w:val="yellow"/>
          </w:rPr>
          <w:t>2.1.1</w:t>
        </w:r>
        <w:r>
          <w:rPr>
            <w:rFonts w:asciiTheme="minorHAnsi" w:eastAsiaTheme="minorEastAsia" w:hAnsiTheme="minorHAnsi" w:cstheme="minorBidi"/>
            <w:color w:val="auto"/>
            <w:sz w:val="22"/>
            <w:szCs w:val="22"/>
            <w:lang w:val="en-GB" w:eastAsia="en-GB"/>
          </w:rPr>
          <w:tab/>
        </w:r>
        <w:r w:rsidRPr="00416A64">
          <w:rPr>
            <w:rStyle w:val="Hyperlink"/>
            <w:highlight w:val="yellow"/>
          </w:rPr>
          <w:t>A hálózat működtetésébe bevont szereplők</w:t>
        </w:r>
        <w:r>
          <w:rPr>
            <w:webHidden/>
          </w:rPr>
          <w:tab/>
        </w:r>
        <w:r>
          <w:rPr>
            <w:webHidden/>
          </w:rPr>
          <w:fldChar w:fldCharType="begin"/>
        </w:r>
        <w:r>
          <w:rPr>
            <w:webHidden/>
          </w:rPr>
          <w:instrText xml:space="preserve"> PAGEREF _Toc464410787 \h </w:instrText>
        </w:r>
        <w:r>
          <w:rPr>
            <w:webHidden/>
          </w:rPr>
        </w:r>
        <w:r>
          <w:rPr>
            <w:webHidden/>
          </w:rPr>
          <w:fldChar w:fldCharType="separate"/>
        </w:r>
        <w:r>
          <w:rPr>
            <w:webHidden/>
          </w:rPr>
          <w:t>35</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88" w:history="1">
        <w:r w:rsidRPr="00416A64">
          <w:rPr>
            <w:rStyle w:val="Hyperlink"/>
            <w:highlight w:val="yellow"/>
          </w:rPr>
          <w:t>2.1.2</w:t>
        </w:r>
        <w:r>
          <w:rPr>
            <w:rFonts w:asciiTheme="minorHAnsi" w:eastAsiaTheme="minorEastAsia" w:hAnsiTheme="minorHAnsi" w:cstheme="minorBidi"/>
            <w:color w:val="auto"/>
            <w:sz w:val="22"/>
            <w:szCs w:val="22"/>
            <w:lang w:val="en-GB" w:eastAsia="en-GB"/>
          </w:rPr>
          <w:tab/>
        </w:r>
        <w:r w:rsidRPr="00416A64">
          <w:rPr>
            <w:rStyle w:val="Hyperlink"/>
            <w:highlight w:val="yellow"/>
          </w:rPr>
          <w:t>A hálózat tagjai</w:t>
        </w:r>
        <w:r>
          <w:rPr>
            <w:webHidden/>
          </w:rPr>
          <w:tab/>
        </w:r>
        <w:r>
          <w:rPr>
            <w:webHidden/>
          </w:rPr>
          <w:fldChar w:fldCharType="begin"/>
        </w:r>
        <w:r>
          <w:rPr>
            <w:webHidden/>
          </w:rPr>
          <w:instrText xml:space="preserve"> PAGEREF _Toc464410788 \h </w:instrText>
        </w:r>
        <w:r>
          <w:rPr>
            <w:webHidden/>
          </w:rPr>
        </w:r>
        <w:r>
          <w:rPr>
            <w:webHidden/>
          </w:rPr>
          <w:fldChar w:fldCharType="separate"/>
        </w:r>
        <w:r>
          <w:rPr>
            <w:webHidden/>
          </w:rPr>
          <w:t>37</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89" w:history="1">
        <w:r w:rsidRPr="00416A64">
          <w:rPr>
            <w:rStyle w:val="Hyperlink"/>
            <w:highlight w:val="yellow"/>
          </w:rPr>
          <w:t>2.1.3</w:t>
        </w:r>
        <w:r>
          <w:rPr>
            <w:rFonts w:asciiTheme="minorHAnsi" w:eastAsiaTheme="minorEastAsia" w:hAnsiTheme="minorHAnsi" w:cstheme="minorBidi"/>
            <w:color w:val="auto"/>
            <w:sz w:val="22"/>
            <w:szCs w:val="22"/>
            <w:lang w:val="en-GB" w:eastAsia="en-GB"/>
          </w:rPr>
          <w:tab/>
        </w:r>
        <w:r w:rsidRPr="00416A64">
          <w:rPr>
            <w:rStyle w:val="Hyperlink"/>
            <w:highlight w:val="yellow"/>
          </w:rPr>
          <w:t>A hálózat értékelésébe bevont szereplők</w:t>
        </w:r>
        <w:r>
          <w:rPr>
            <w:webHidden/>
          </w:rPr>
          <w:tab/>
        </w:r>
        <w:r>
          <w:rPr>
            <w:webHidden/>
          </w:rPr>
          <w:fldChar w:fldCharType="begin"/>
        </w:r>
        <w:r>
          <w:rPr>
            <w:webHidden/>
          </w:rPr>
          <w:instrText xml:space="preserve"> PAGEREF _Toc464410789 \h </w:instrText>
        </w:r>
        <w:r>
          <w:rPr>
            <w:webHidden/>
          </w:rPr>
        </w:r>
        <w:r>
          <w:rPr>
            <w:webHidden/>
          </w:rPr>
          <w:fldChar w:fldCharType="separate"/>
        </w:r>
        <w:r>
          <w:rPr>
            <w:webHidden/>
          </w:rPr>
          <w:t>38</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790" w:history="1">
        <w:r w:rsidRPr="00416A64">
          <w:rPr>
            <w:rStyle w:val="Hyperlink"/>
            <w:highlight w:val="yellow"/>
          </w:rPr>
          <w:t>2.2</w:t>
        </w:r>
        <w:r>
          <w:rPr>
            <w:rFonts w:asciiTheme="minorHAnsi" w:eastAsiaTheme="minorEastAsia" w:hAnsiTheme="minorHAnsi" w:cstheme="minorBidi"/>
            <w:color w:val="auto"/>
            <w:sz w:val="22"/>
            <w:lang w:val="en-GB" w:eastAsia="en-GB"/>
          </w:rPr>
          <w:tab/>
        </w:r>
        <w:r w:rsidRPr="00416A64">
          <w:rPr>
            <w:rStyle w:val="Hyperlink"/>
            <w:highlight w:val="yellow"/>
          </w:rPr>
          <w:t>Az NVH értékelésének kulcslépései</w:t>
        </w:r>
        <w:r>
          <w:rPr>
            <w:webHidden/>
          </w:rPr>
          <w:tab/>
        </w:r>
        <w:r>
          <w:rPr>
            <w:webHidden/>
          </w:rPr>
          <w:fldChar w:fldCharType="begin"/>
        </w:r>
        <w:r>
          <w:rPr>
            <w:webHidden/>
          </w:rPr>
          <w:instrText xml:space="preserve"> PAGEREF _Toc464410790 \h </w:instrText>
        </w:r>
        <w:r>
          <w:rPr>
            <w:webHidden/>
          </w:rPr>
        </w:r>
        <w:r>
          <w:rPr>
            <w:webHidden/>
          </w:rPr>
          <w:fldChar w:fldCharType="separate"/>
        </w:r>
        <w:r>
          <w:rPr>
            <w:webHidden/>
          </w:rPr>
          <w:t>38</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91" w:history="1">
        <w:r w:rsidRPr="00416A64">
          <w:rPr>
            <w:rStyle w:val="Hyperlink"/>
            <w:highlight w:val="yellow"/>
          </w:rPr>
          <w:t>2.2.1</w:t>
        </w:r>
        <w:r>
          <w:rPr>
            <w:rFonts w:asciiTheme="minorHAnsi" w:eastAsiaTheme="minorEastAsia" w:hAnsiTheme="minorHAnsi" w:cstheme="minorBidi"/>
            <w:color w:val="auto"/>
            <w:sz w:val="22"/>
            <w:szCs w:val="22"/>
            <w:lang w:val="en-GB" w:eastAsia="en-GB"/>
          </w:rPr>
          <w:tab/>
        </w:r>
        <w:r w:rsidRPr="00416A64">
          <w:rPr>
            <w:rStyle w:val="Hyperlink"/>
            <w:highlight w:val="yellow"/>
          </w:rPr>
          <w:t>Az NVH-értékelés megtervezése</w:t>
        </w:r>
        <w:r>
          <w:rPr>
            <w:webHidden/>
          </w:rPr>
          <w:tab/>
        </w:r>
        <w:r>
          <w:rPr>
            <w:webHidden/>
          </w:rPr>
          <w:fldChar w:fldCharType="begin"/>
        </w:r>
        <w:r>
          <w:rPr>
            <w:webHidden/>
          </w:rPr>
          <w:instrText xml:space="preserve"> PAGEREF _Toc464410791 \h </w:instrText>
        </w:r>
        <w:r>
          <w:rPr>
            <w:webHidden/>
          </w:rPr>
        </w:r>
        <w:r>
          <w:rPr>
            <w:webHidden/>
          </w:rPr>
          <w:fldChar w:fldCharType="separate"/>
        </w:r>
        <w:r>
          <w:rPr>
            <w:webHidden/>
          </w:rPr>
          <w:t>39</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92" w:history="1">
        <w:r w:rsidRPr="00416A64">
          <w:rPr>
            <w:rStyle w:val="Hyperlink"/>
            <w:highlight w:val="yellow"/>
          </w:rPr>
          <w:t>2.2.2</w:t>
        </w:r>
        <w:r>
          <w:rPr>
            <w:rFonts w:asciiTheme="minorHAnsi" w:eastAsiaTheme="minorEastAsia" w:hAnsiTheme="minorHAnsi" w:cstheme="minorBidi"/>
            <w:color w:val="auto"/>
            <w:sz w:val="22"/>
            <w:szCs w:val="22"/>
            <w:lang w:val="en-GB" w:eastAsia="en-GB"/>
          </w:rPr>
          <w:tab/>
        </w:r>
        <w:r w:rsidRPr="00416A64">
          <w:rPr>
            <w:rStyle w:val="Hyperlink"/>
            <w:highlight w:val="yellow"/>
          </w:rPr>
          <w:t>Az NVH-értékelés előkészítése</w:t>
        </w:r>
        <w:r>
          <w:rPr>
            <w:webHidden/>
          </w:rPr>
          <w:tab/>
        </w:r>
        <w:r>
          <w:rPr>
            <w:webHidden/>
          </w:rPr>
          <w:fldChar w:fldCharType="begin"/>
        </w:r>
        <w:r>
          <w:rPr>
            <w:webHidden/>
          </w:rPr>
          <w:instrText xml:space="preserve"> PAGEREF _Toc464410792 \h </w:instrText>
        </w:r>
        <w:r>
          <w:rPr>
            <w:webHidden/>
          </w:rPr>
        </w:r>
        <w:r>
          <w:rPr>
            <w:webHidden/>
          </w:rPr>
          <w:fldChar w:fldCharType="separate"/>
        </w:r>
        <w:r>
          <w:rPr>
            <w:webHidden/>
          </w:rPr>
          <w:t>45</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93" w:history="1">
        <w:r w:rsidRPr="00416A64">
          <w:rPr>
            <w:rStyle w:val="Hyperlink"/>
            <w:highlight w:val="yellow"/>
          </w:rPr>
          <w:t>2.2.3</w:t>
        </w:r>
        <w:r>
          <w:rPr>
            <w:rFonts w:asciiTheme="minorHAnsi" w:eastAsiaTheme="minorEastAsia" w:hAnsiTheme="minorHAnsi" w:cstheme="minorBidi"/>
            <w:color w:val="auto"/>
            <w:sz w:val="22"/>
            <w:szCs w:val="22"/>
            <w:lang w:val="en-GB" w:eastAsia="en-GB"/>
          </w:rPr>
          <w:tab/>
        </w:r>
        <w:r w:rsidRPr="00416A64">
          <w:rPr>
            <w:rStyle w:val="Hyperlink"/>
            <w:highlight w:val="yellow"/>
          </w:rPr>
          <w:t>Az értékelés végrehajtása</w:t>
        </w:r>
        <w:r>
          <w:rPr>
            <w:webHidden/>
          </w:rPr>
          <w:tab/>
        </w:r>
        <w:r>
          <w:rPr>
            <w:webHidden/>
          </w:rPr>
          <w:fldChar w:fldCharType="begin"/>
        </w:r>
        <w:r>
          <w:rPr>
            <w:webHidden/>
          </w:rPr>
          <w:instrText xml:space="preserve"> PAGEREF _Toc464410793 \h </w:instrText>
        </w:r>
        <w:r>
          <w:rPr>
            <w:webHidden/>
          </w:rPr>
        </w:r>
        <w:r>
          <w:rPr>
            <w:webHidden/>
          </w:rPr>
          <w:fldChar w:fldCharType="separate"/>
        </w:r>
        <w:r>
          <w:rPr>
            <w:webHidden/>
          </w:rPr>
          <w:t>66</w:t>
        </w:r>
        <w:r>
          <w:rPr>
            <w:webHidden/>
          </w:rPr>
          <w:fldChar w:fldCharType="end"/>
        </w:r>
      </w:hyperlink>
    </w:p>
    <w:p w:rsidR="00170A1A" w:rsidRDefault="00170A1A">
      <w:pPr>
        <w:pStyle w:val="TOC3"/>
        <w:rPr>
          <w:rFonts w:asciiTheme="minorHAnsi" w:eastAsiaTheme="minorEastAsia" w:hAnsiTheme="minorHAnsi" w:cstheme="minorBidi"/>
          <w:color w:val="auto"/>
          <w:sz w:val="22"/>
          <w:szCs w:val="22"/>
          <w:lang w:val="en-GB" w:eastAsia="en-GB"/>
        </w:rPr>
      </w:pPr>
      <w:hyperlink w:anchor="_Toc464410794" w:history="1">
        <w:r w:rsidRPr="00416A64">
          <w:rPr>
            <w:rStyle w:val="Hyperlink"/>
            <w:highlight w:val="yellow"/>
          </w:rPr>
          <w:t>2.2.4</w:t>
        </w:r>
        <w:r>
          <w:rPr>
            <w:rFonts w:asciiTheme="minorHAnsi" w:eastAsiaTheme="minorEastAsia" w:hAnsiTheme="minorHAnsi" w:cstheme="minorBidi"/>
            <w:color w:val="auto"/>
            <w:sz w:val="22"/>
            <w:szCs w:val="22"/>
            <w:lang w:val="en-GB" w:eastAsia="en-GB"/>
          </w:rPr>
          <w:tab/>
        </w:r>
        <w:r w:rsidRPr="00416A64">
          <w:rPr>
            <w:rStyle w:val="Hyperlink"/>
            <w:highlight w:val="yellow"/>
          </w:rPr>
          <w:t>Az értékelés megállapításainak ismertetése és terjesztése</w:t>
        </w:r>
        <w:r>
          <w:rPr>
            <w:webHidden/>
          </w:rPr>
          <w:tab/>
        </w:r>
        <w:r>
          <w:rPr>
            <w:webHidden/>
          </w:rPr>
          <w:fldChar w:fldCharType="begin"/>
        </w:r>
        <w:r>
          <w:rPr>
            <w:webHidden/>
          </w:rPr>
          <w:instrText xml:space="preserve"> PAGEREF _Toc464410794 \h </w:instrText>
        </w:r>
        <w:r>
          <w:rPr>
            <w:webHidden/>
          </w:rPr>
        </w:r>
        <w:r>
          <w:rPr>
            <w:webHidden/>
          </w:rPr>
          <w:fldChar w:fldCharType="separate"/>
        </w:r>
        <w:r>
          <w:rPr>
            <w:webHidden/>
          </w:rPr>
          <w:t>68</w:t>
        </w:r>
        <w:r>
          <w:rPr>
            <w:webHidden/>
          </w:rPr>
          <w:fldChar w:fldCharType="end"/>
        </w:r>
      </w:hyperlink>
    </w:p>
    <w:p w:rsidR="00170A1A" w:rsidRPr="008D0759" w:rsidRDefault="00170A1A" w:rsidP="007A636E">
      <w:pPr>
        <w:pStyle w:val="HStandard"/>
        <w:tabs>
          <w:tab w:val="right" w:leader="dot" w:pos="8742"/>
        </w:tabs>
      </w:pPr>
      <w:r w:rsidRPr="00450DBF">
        <w:fldChar w:fldCharType="end"/>
      </w:r>
    </w:p>
    <w:p w:rsidR="00170A1A" w:rsidRPr="008D0759" w:rsidRDefault="00170A1A" w:rsidP="00B67939">
      <w:pPr>
        <w:pStyle w:val="HContent"/>
        <w:tabs>
          <w:tab w:val="right" w:leader="dot" w:pos="8742"/>
        </w:tabs>
        <w:rPr>
          <w:rFonts w:ascii="Arial" w:hAnsi="Arial"/>
        </w:rPr>
      </w:pPr>
      <w:r>
        <w:rPr>
          <w:rFonts w:ascii="Arial" w:hAnsi="Arial"/>
        </w:rPr>
        <w:lastRenderedPageBreak/>
        <w:t>Tables, Figures and BOXES</w:t>
      </w:r>
    </w:p>
    <w:p w:rsidR="00170A1A" w:rsidRDefault="00170A1A">
      <w:pPr>
        <w:pStyle w:val="TOC1"/>
        <w:rPr>
          <w:rFonts w:asciiTheme="minorHAnsi" w:eastAsiaTheme="minorEastAsia" w:hAnsiTheme="minorHAnsi" w:cstheme="minorBidi"/>
          <w:color w:val="auto"/>
          <w:sz w:val="22"/>
          <w:szCs w:val="22"/>
          <w:lang w:val="en-GB" w:eastAsia="en-GB"/>
        </w:rPr>
      </w:pPr>
      <w:r w:rsidRPr="00450DBF">
        <w:rPr>
          <w:rFonts w:cs="Arial"/>
          <w:color w:val="576C88" w:themeColor="text2" w:themeTint="D9"/>
        </w:rPr>
        <w:fldChar w:fldCharType="begin"/>
      </w:r>
      <w:r w:rsidRPr="00450DBF">
        <w:rPr>
          <w:rFonts w:cs="Arial"/>
          <w:color w:val="576C88" w:themeColor="text2" w:themeTint="D9"/>
        </w:rPr>
        <w:instrText xml:space="preserve"> TOC \h \z \t "H_Heading_tables;1" </w:instrText>
      </w:r>
      <w:r w:rsidRPr="00450DBF">
        <w:rPr>
          <w:rFonts w:cs="Arial"/>
          <w:color w:val="576C88" w:themeColor="text2" w:themeTint="D9"/>
        </w:rPr>
        <w:fldChar w:fldCharType="separate"/>
      </w:r>
      <w:hyperlink w:anchor="_Toc464410795" w:history="1">
        <w:r w:rsidRPr="00485244">
          <w:rPr>
            <w:rStyle w:val="Hyperlink"/>
            <w:highlight w:val="yellow"/>
          </w:rPr>
          <w:t>Table 1. Az NVH-k közös értékelési kerete</w:t>
        </w:r>
        <w:r>
          <w:rPr>
            <w:webHidden/>
          </w:rPr>
          <w:tab/>
        </w:r>
        <w:r>
          <w:rPr>
            <w:webHidden/>
          </w:rPr>
          <w:fldChar w:fldCharType="begin"/>
        </w:r>
        <w:r>
          <w:rPr>
            <w:webHidden/>
          </w:rPr>
          <w:instrText xml:space="preserve"> PAGEREF _Toc464410795 \h </w:instrText>
        </w:r>
        <w:r>
          <w:rPr>
            <w:webHidden/>
          </w:rPr>
        </w:r>
        <w:r>
          <w:rPr>
            <w:webHidden/>
          </w:rPr>
          <w:fldChar w:fldCharType="separate"/>
        </w:r>
        <w:r>
          <w:rPr>
            <w:webHidden/>
          </w:rPr>
          <w:t>32</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796" w:history="1">
        <w:r w:rsidRPr="00485244">
          <w:rPr>
            <w:rStyle w:val="Hyperlink"/>
            <w:highlight w:val="yellow"/>
          </w:rPr>
          <w:t>Table 2. Az értékeléssel kapcsolatos kommunikációs terv</w:t>
        </w:r>
        <w:r>
          <w:rPr>
            <w:webHidden/>
          </w:rPr>
          <w:tab/>
        </w:r>
        <w:r>
          <w:rPr>
            <w:webHidden/>
          </w:rPr>
          <w:fldChar w:fldCharType="begin"/>
        </w:r>
        <w:r>
          <w:rPr>
            <w:webHidden/>
          </w:rPr>
          <w:instrText xml:space="preserve"> PAGEREF _Toc464410796 \h </w:instrText>
        </w:r>
        <w:r>
          <w:rPr>
            <w:webHidden/>
          </w:rPr>
        </w:r>
        <w:r>
          <w:rPr>
            <w:webHidden/>
          </w:rPr>
          <w:fldChar w:fldCharType="separate"/>
        </w:r>
        <w:r>
          <w:rPr>
            <w:webHidden/>
          </w:rPr>
          <w:t>41</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797" w:history="1">
        <w:r w:rsidRPr="00485244">
          <w:rPr>
            <w:rStyle w:val="Hyperlink"/>
            <w:highlight w:val="yellow"/>
          </w:rPr>
          <w:t>Table 3. Értékelésikapacitás-építés: humánerőforrások</w:t>
        </w:r>
        <w:r>
          <w:rPr>
            <w:webHidden/>
          </w:rPr>
          <w:tab/>
        </w:r>
        <w:r>
          <w:rPr>
            <w:webHidden/>
          </w:rPr>
          <w:fldChar w:fldCharType="begin"/>
        </w:r>
        <w:r>
          <w:rPr>
            <w:webHidden/>
          </w:rPr>
          <w:instrText xml:space="preserve"> PAGEREF _Toc464410797 \h </w:instrText>
        </w:r>
        <w:r>
          <w:rPr>
            <w:webHidden/>
          </w:rPr>
        </w:r>
        <w:r>
          <w:rPr>
            <w:webHidden/>
          </w:rPr>
          <w:fldChar w:fldCharType="separate"/>
        </w:r>
        <w:r>
          <w:rPr>
            <w:webHidden/>
          </w:rPr>
          <w:t>42</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798" w:history="1">
        <w:r w:rsidRPr="00485244">
          <w:rPr>
            <w:rStyle w:val="Hyperlink"/>
            <w:highlight w:val="yellow"/>
          </w:rPr>
          <w:t>Table 4. Az érdekeltek felelősségi körei az NVH-értékelés megtervezésében</w:t>
        </w:r>
        <w:r>
          <w:rPr>
            <w:webHidden/>
          </w:rPr>
          <w:tab/>
        </w:r>
        <w:r>
          <w:rPr>
            <w:webHidden/>
          </w:rPr>
          <w:fldChar w:fldCharType="begin"/>
        </w:r>
        <w:r>
          <w:rPr>
            <w:webHidden/>
          </w:rPr>
          <w:instrText xml:space="preserve"> PAGEREF _Toc464410798 \h </w:instrText>
        </w:r>
        <w:r>
          <w:rPr>
            <w:webHidden/>
          </w:rPr>
        </w:r>
        <w:r>
          <w:rPr>
            <w:webHidden/>
          </w:rPr>
          <w:fldChar w:fldCharType="separate"/>
        </w:r>
        <w:r>
          <w:rPr>
            <w:webHidden/>
          </w:rPr>
          <w:t>42</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799" w:history="1">
        <w:r w:rsidRPr="00485244">
          <w:rPr>
            <w:rStyle w:val="Hyperlink"/>
            <w:highlight w:val="yellow"/>
          </w:rPr>
          <w:t>Table 5. Az NVH-célkitűzések hierarchiája és várt hatásai</w:t>
        </w:r>
        <w:r>
          <w:rPr>
            <w:webHidden/>
          </w:rPr>
          <w:tab/>
        </w:r>
        <w:r>
          <w:rPr>
            <w:webHidden/>
          </w:rPr>
          <w:fldChar w:fldCharType="begin"/>
        </w:r>
        <w:r>
          <w:rPr>
            <w:webHidden/>
          </w:rPr>
          <w:instrText xml:space="preserve"> PAGEREF _Toc464410799 \h </w:instrText>
        </w:r>
        <w:r>
          <w:rPr>
            <w:webHidden/>
          </w:rPr>
        </w:r>
        <w:r>
          <w:rPr>
            <w:webHidden/>
          </w:rPr>
          <w:fldChar w:fldCharType="separate"/>
        </w:r>
        <w:r>
          <w:rPr>
            <w:webHidden/>
          </w:rPr>
          <w:t>49</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0" w:history="1">
        <w:r w:rsidRPr="00485244">
          <w:rPr>
            <w:rStyle w:val="Hyperlink"/>
            <w:highlight w:val="yellow"/>
          </w:rPr>
          <w:t>Table 6. A célkitűzések és az értékelési kérdések közötti kapcsolatok (példa)</w:t>
        </w:r>
        <w:r>
          <w:rPr>
            <w:webHidden/>
          </w:rPr>
          <w:tab/>
        </w:r>
        <w:r>
          <w:rPr>
            <w:webHidden/>
          </w:rPr>
          <w:fldChar w:fldCharType="begin"/>
        </w:r>
        <w:r>
          <w:rPr>
            <w:webHidden/>
          </w:rPr>
          <w:instrText xml:space="preserve"> PAGEREF _Toc464410800 \h </w:instrText>
        </w:r>
        <w:r>
          <w:rPr>
            <w:webHidden/>
          </w:rPr>
        </w:r>
        <w:r>
          <w:rPr>
            <w:webHidden/>
          </w:rPr>
          <w:fldChar w:fldCharType="separate"/>
        </w:r>
        <w:r>
          <w:rPr>
            <w:webHidden/>
          </w:rPr>
          <w:t>54</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1" w:history="1">
        <w:r w:rsidRPr="00485244">
          <w:rPr>
            <w:rStyle w:val="Hyperlink"/>
            <w:highlight w:val="yellow"/>
          </w:rPr>
          <w:t>Table 7. Példa az NVH-val kapcsolatos célkitűzések, értékelési kérdések és mutatók összekapcsolására</w:t>
        </w:r>
        <w:r>
          <w:rPr>
            <w:webHidden/>
          </w:rPr>
          <w:tab/>
        </w:r>
        <w:r>
          <w:rPr>
            <w:webHidden/>
          </w:rPr>
          <w:fldChar w:fldCharType="begin"/>
        </w:r>
        <w:r>
          <w:rPr>
            <w:webHidden/>
          </w:rPr>
          <w:instrText xml:space="preserve"> PAGEREF _Toc464410801 \h </w:instrText>
        </w:r>
        <w:r>
          <w:rPr>
            <w:webHidden/>
          </w:rPr>
        </w:r>
        <w:r>
          <w:rPr>
            <w:webHidden/>
          </w:rPr>
          <w:fldChar w:fldCharType="separate"/>
        </w:r>
        <w:r>
          <w:rPr>
            <w:webHidden/>
          </w:rPr>
          <w:t>57</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2" w:history="1">
        <w:r w:rsidRPr="00485244">
          <w:rPr>
            <w:rStyle w:val="Hyperlink"/>
            <w:highlight w:val="yellow"/>
          </w:rPr>
          <w:t>Table 8. Példa az NVH értékelési elemeire</w:t>
        </w:r>
        <w:r>
          <w:rPr>
            <w:webHidden/>
          </w:rPr>
          <w:tab/>
        </w:r>
        <w:r>
          <w:rPr>
            <w:webHidden/>
          </w:rPr>
          <w:fldChar w:fldCharType="begin"/>
        </w:r>
        <w:r>
          <w:rPr>
            <w:webHidden/>
          </w:rPr>
          <w:instrText xml:space="preserve"> PAGEREF _Toc464410802 \h </w:instrText>
        </w:r>
        <w:r>
          <w:rPr>
            <w:webHidden/>
          </w:rPr>
        </w:r>
        <w:r>
          <w:rPr>
            <w:webHidden/>
          </w:rPr>
          <w:fldChar w:fldCharType="separate"/>
        </w:r>
        <w:r>
          <w:rPr>
            <w:webHidden/>
          </w:rPr>
          <w:t>59</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3" w:history="1">
        <w:r w:rsidRPr="00485244">
          <w:rPr>
            <w:rStyle w:val="Hyperlink"/>
            <w:highlight w:val="yellow"/>
          </w:rPr>
          <w:t>Table 9. Értékelés nyomon követési mátrixa</w:t>
        </w:r>
        <w:r>
          <w:rPr>
            <w:webHidden/>
          </w:rPr>
          <w:tab/>
        </w:r>
        <w:r>
          <w:rPr>
            <w:webHidden/>
          </w:rPr>
          <w:fldChar w:fldCharType="begin"/>
        </w:r>
        <w:r>
          <w:rPr>
            <w:webHidden/>
          </w:rPr>
          <w:instrText xml:space="preserve"> PAGEREF _Toc464410803 \h </w:instrText>
        </w:r>
        <w:r>
          <w:rPr>
            <w:webHidden/>
          </w:rPr>
        </w:r>
        <w:r>
          <w:rPr>
            <w:webHidden/>
          </w:rPr>
          <w:fldChar w:fldCharType="separate"/>
        </w:r>
        <w:r>
          <w:rPr>
            <w:webHidden/>
          </w:rPr>
          <w:t>68</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4" w:history="1">
        <w:r w:rsidRPr="00485244">
          <w:rPr>
            <w:rStyle w:val="Hyperlink"/>
            <w:highlight w:val="yellow"/>
          </w:rPr>
          <w:t>Table 10. Az érdekeltek feladatkörei az NVH értékelési megállapításaival kapcsolatos kommunikáció és nyomon követés terén</w:t>
        </w:r>
        <w:r>
          <w:rPr>
            <w:webHidden/>
          </w:rPr>
          <w:tab/>
        </w:r>
        <w:r>
          <w:rPr>
            <w:webHidden/>
          </w:rPr>
          <w:fldChar w:fldCharType="begin"/>
        </w:r>
        <w:r>
          <w:rPr>
            <w:webHidden/>
          </w:rPr>
          <w:instrText xml:space="preserve"> PAGEREF _Toc464410804 \h </w:instrText>
        </w:r>
        <w:r>
          <w:rPr>
            <w:webHidden/>
          </w:rPr>
        </w:r>
        <w:r>
          <w:rPr>
            <w:webHidden/>
          </w:rPr>
          <w:fldChar w:fldCharType="separate"/>
        </w:r>
        <w:r>
          <w:rPr>
            <w:webHidden/>
          </w:rPr>
          <w:t>69</w:t>
        </w:r>
        <w:r>
          <w:rPr>
            <w:webHidden/>
          </w:rPr>
          <w:fldChar w:fldCharType="end"/>
        </w:r>
      </w:hyperlink>
    </w:p>
    <w:p w:rsidR="00170A1A" w:rsidRDefault="00170A1A" w:rsidP="00EF2430">
      <w:pPr>
        <w:pStyle w:val="TOC2"/>
      </w:pPr>
      <w:r w:rsidRPr="00450DBF">
        <w:rPr>
          <w:rFonts w:cs="Arial"/>
          <w:color w:val="576C88" w:themeColor="text2" w:themeTint="D9"/>
        </w:rPr>
        <w:fldChar w:fldCharType="end"/>
      </w:r>
      <w:r w:rsidRPr="00450DBF">
        <w:rPr>
          <w:rFonts w:cs="Arial"/>
          <w:color w:val="576C88" w:themeColor="text2" w:themeTint="D9"/>
        </w:rPr>
        <w:fldChar w:fldCharType="begin"/>
      </w:r>
      <w:r w:rsidRPr="00450DBF">
        <w:rPr>
          <w:rFonts w:cs="Arial"/>
          <w:color w:val="576C88" w:themeColor="text2" w:themeTint="D9"/>
        </w:rPr>
        <w:instrText xml:space="preserve"> TOC \h \z \t "H_Heading_figures;1" </w:instrText>
      </w:r>
      <w:r w:rsidRPr="00450DBF">
        <w:rPr>
          <w:rFonts w:cs="Arial"/>
          <w:color w:val="576C88" w:themeColor="text2" w:themeTint="D9"/>
        </w:rPr>
        <w:fldChar w:fldCharType="separate"/>
      </w:r>
    </w:p>
    <w:p w:rsidR="00170A1A" w:rsidRDefault="00170A1A">
      <w:pPr>
        <w:pStyle w:val="TOC1"/>
        <w:rPr>
          <w:rFonts w:asciiTheme="minorHAnsi" w:eastAsiaTheme="minorEastAsia" w:hAnsiTheme="minorHAnsi" w:cstheme="minorBidi"/>
          <w:color w:val="auto"/>
          <w:sz w:val="22"/>
          <w:szCs w:val="22"/>
          <w:lang w:val="en-GB" w:eastAsia="en-GB"/>
        </w:rPr>
      </w:pPr>
      <w:hyperlink w:anchor="_Toc464410805" w:history="1">
        <w:r w:rsidRPr="006937E6">
          <w:rPr>
            <w:rStyle w:val="Hyperlink"/>
            <w:highlight w:val="yellow"/>
          </w:rPr>
          <w:t>Figure 1. Az Európai Unió vidékfejlesztési hálózatainak irányítási struktúrája</w:t>
        </w:r>
        <w:r>
          <w:rPr>
            <w:webHidden/>
          </w:rPr>
          <w:tab/>
        </w:r>
        <w:r>
          <w:rPr>
            <w:webHidden/>
          </w:rPr>
          <w:fldChar w:fldCharType="begin"/>
        </w:r>
        <w:r>
          <w:rPr>
            <w:webHidden/>
          </w:rPr>
          <w:instrText xml:space="preserve"> PAGEREF _Toc464410805 \h </w:instrText>
        </w:r>
        <w:r>
          <w:rPr>
            <w:webHidden/>
          </w:rPr>
        </w:r>
        <w:r>
          <w:rPr>
            <w:webHidden/>
          </w:rPr>
          <w:fldChar w:fldCharType="separate"/>
        </w:r>
        <w:r>
          <w:rPr>
            <w:webHidden/>
          </w:rPr>
          <w:t>15</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6" w:history="1">
        <w:r w:rsidRPr="006937E6">
          <w:rPr>
            <w:rStyle w:val="Hyperlink"/>
            <w:highlight w:val="yellow"/>
          </w:rPr>
          <w:t>Figure 2. Az NVH felépítése</w:t>
        </w:r>
        <w:r>
          <w:rPr>
            <w:webHidden/>
          </w:rPr>
          <w:tab/>
        </w:r>
        <w:r>
          <w:rPr>
            <w:webHidden/>
          </w:rPr>
          <w:fldChar w:fldCharType="begin"/>
        </w:r>
        <w:r>
          <w:rPr>
            <w:webHidden/>
          </w:rPr>
          <w:instrText xml:space="preserve"> PAGEREF _Toc464410806 \h </w:instrText>
        </w:r>
        <w:r>
          <w:rPr>
            <w:webHidden/>
          </w:rPr>
        </w:r>
        <w:r>
          <w:rPr>
            <w:webHidden/>
          </w:rPr>
          <w:fldChar w:fldCharType="separate"/>
        </w:r>
        <w:r>
          <w:rPr>
            <w:webHidden/>
          </w:rPr>
          <w:t>16</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7" w:history="1">
        <w:r w:rsidRPr="006937E6">
          <w:rPr>
            <w:rStyle w:val="Hyperlink"/>
            <w:highlight w:val="yellow"/>
          </w:rPr>
          <w:t>Figure 3. Az önértékelés és az NVH-k értékelésének összehasonlítása</w:t>
        </w:r>
        <w:r>
          <w:rPr>
            <w:webHidden/>
          </w:rPr>
          <w:tab/>
        </w:r>
        <w:r>
          <w:rPr>
            <w:webHidden/>
          </w:rPr>
          <w:fldChar w:fldCharType="begin"/>
        </w:r>
        <w:r>
          <w:rPr>
            <w:webHidden/>
          </w:rPr>
          <w:instrText xml:space="preserve"> PAGEREF _Toc464410807 \h </w:instrText>
        </w:r>
        <w:r>
          <w:rPr>
            <w:webHidden/>
          </w:rPr>
        </w:r>
        <w:r>
          <w:rPr>
            <w:webHidden/>
          </w:rPr>
          <w:fldChar w:fldCharType="separate"/>
        </w:r>
        <w:r>
          <w:rPr>
            <w:webHidden/>
          </w:rPr>
          <w:t>20</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8" w:history="1">
        <w:r w:rsidRPr="006937E6">
          <w:rPr>
            <w:rStyle w:val="Hyperlink"/>
            <w:highlight w:val="yellow"/>
          </w:rPr>
          <w:t>Figure 4. Az NVH-k értékelésére vonatkozó jelentéskészítés ütemterve</w:t>
        </w:r>
        <w:r>
          <w:rPr>
            <w:webHidden/>
          </w:rPr>
          <w:tab/>
        </w:r>
        <w:r>
          <w:rPr>
            <w:webHidden/>
          </w:rPr>
          <w:fldChar w:fldCharType="begin"/>
        </w:r>
        <w:r>
          <w:rPr>
            <w:webHidden/>
          </w:rPr>
          <w:instrText xml:space="preserve"> PAGEREF _Toc464410808 \h </w:instrText>
        </w:r>
        <w:r>
          <w:rPr>
            <w:webHidden/>
          </w:rPr>
        </w:r>
        <w:r>
          <w:rPr>
            <w:webHidden/>
          </w:rPr>
          <w:fldChar w:fldCharType="separate"/>
        </w:r>
        <w:r>
          <w:rPr>
            <w:webHidden/>
          </w:rPr>
          <w:t>21</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09" w:history="1">
        <w:r w:rsidRPr="006937E6">
          <w:rPr>
            <w:rStyle w:val="Hyperlink"/>
            <w:highlight w:val="yellow"/>
          </w:rPr>
          <w:t>Figure 5. Az NVH-k értékelésének fókuszpontjai</w:t>
        </w:r>
        <w:r>
          <w:rPr>
            <w:webHidden/>
          </w:rPr>
          <w:tab/>
        </w:r>
        <w:r>
          <w:rPr>
            <w:webHidden/>
          </w:rPr>
          <w:fldChar w:fldCharType="begin"/>
        </w:r>
        <w:r>
          <w:rPr>
            <w:webHidden/>
          </w:rPr>
          <w:instrText xml:space="preserve"> PAGEREF _Toc464410809 \h </w:instrText>
        </w:r>
        <w:r>
          <w:rPr>
            <w:webHidden/>
          </w:rPr>
        </w:r>
        <w:r>
          <w:rPr>
            <w:webHidden/>
          </w:rPr>
          <w:fldChar w:fldCharType="separate"/>
        </w:r>
        <w:r>
          <w:rPr>
            <w:webHidden/>
          </w:rPr>
          <w:t>23</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0" w:history="1">
        <w:r w:rsidRPr="006937E6">
          <w:rPr>
            <w:rStyle w:val="Hyperlink"/>
            <w:highlight w:val="yellow"/>
          </w:rPr>
          <w:t>Figure 6. Függőleges és vízszintes konzisztencia az NVH célkitűzései és kihatásai között</w:t>
        </w:r>
        <w:r>
          <w:rPr>
            <w:webHidden/>
          </w:rPr>
          <w:tab/>
        </w:r>
        <w:r>
          <w:rPr>
            <w:webHidden/>
          </w:rPr>
          <w:fldChar w:fldCharType="begin"/>
        </w:r>
        <w:r>
          <w:rPr>
            <w:webHidden/>
          </w:rPr>
          <w:instrText xml:space="preserve"> PAGEREF _Toc464410810 \h </w:instrText>
        </w:r>
        <w:r>
          <w:rPr>
            <w:webHidden/>
          </w:rPr>
        </w:r>
        <w:r>
          <w:rPr>
            <w:webHidden/>
          </w:rPr>
          <w:fldChar w:fldCharType="separate"/>
        </w:r>
        <w:r>
          <w:rPr>
            <w:webHidden/>
          </w:rPr>
          <w:t>25</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1" w:history="1">
        <w:r w:rsidRPr="006937E6">
          <w:rPr>
            <w:rStyle w:val="Hyperlink"/>
            <w:highlight w:val="yellow"/>
          </w:rPr>
          <w:t>Figure 7. Az NVH kihatásai és ezek hozzájárulása a VFP kimeneteihez, eredményeihez és hatásaihoz</w:t>
        </w:r>
        <w:r>
          <w:rPr>
            <w:webHidden/>
          </w:rPr>
          <w:tab/>
        </w:r>
        <w:r>
          <w:rPr>
            <w:webHidden/>
          </w:rPr>
          <w:fldChar w:fldCharType="begin"/>
        </w:r>
        <w:r>
          <w:rPr>
            <w:webHidden/>
          </w:rPr>
          <w:instrText xml:space="preserve"> PAGEREF _Toc464410811 \h </w:instrText>
        </w:r>
        <w:r>
          <w:rPr>
            <w:webHidden/>
          </w:rPr>
        </w:r>
        <w:r>
          <w:rPr>
            <w:webHidden/>
          </w:rPr>
          <w:fldChar w:fldCharType="separate"/>
        </w:r>
        <w:r>
          <w:rPr>
            <w:webHidden/>
          </w:rPr>
          <w:t>28</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2" w:history="1">
        <w:r w:rsidRPr="006937E6">
          <w:rPr>
            <w:rStyle w:val="Hyperlink"/>
            <w:highlight w:val="yellow"/>
          </w:rPr>
          <w:t>Figure 8. Az NVH hozzájárulása a nemzeti, VFP- és uniós célkitűzések megvalósulásához</w:t>
        </w:r>
        <w:r>
          <w:rPr>
            <w:webHidden/>
          </w:rPr>
          <w:tab/>
        </w:r>
        <w:r>
          <w:rPr>
            <w:webHidden/>
          </w:rPr>
          <w:fldChar w:fldCharType="begin"/>
        </w:r>
        <w:r>
          <w:rPr>
            <w:webHidden/>
          </w:rPr>
          <w:instrText xml:space="preserve"> PAGEREF _Toc464410812 \h </w:instrText>
        </w:r>
        <w:r>
          <w:rPr>
            <w:webHidden/>
          </w:rPr>
        </w:r>
        <w:r>
          <w:rPr>
            <w:webHidden/>
          </w:rPr>
          <w:fldChar w:fldCharType="separate"/>
        </w:r>
        <w:r>
          <w:rPr>
            <w:webHidden/>
          </w:rPr>
          <w:t>28</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3" w:history="1">
        <w:r w:rsidRPr="006937E6">
          <w:rPr>
            <w:rStyle w:val="Hyperlink"/>
            <w:highlight w:val="yellow"/>
          </w:rPr>
          <w:t>Figure 9. Az NVH-hoz kapcsolódó, az NVH programspecifikus elemeivel kiegészítendő CMES-elemek áttekintése</w:t>
        </w:r>
        <w:r>
          <w:rPr>
            <w:webHidden/>
          </w:rPr>
          <w:tab/>
        </w:r>
        <w:r>
          <w:rPr>
            <w:webHidden/>
          </w:rPr>
          <w:fldChar w:fldCharType="begin"/>
        </w:r>
        <w:r>
          <w:rPr>
            <w:webHidden/>
          </w:rPr>
          <w:instrText xml:space="preserve"> PAGEREF _Toc464410813 \h </w:instrText>
        </w:r>
        <w:r>
          <w:rPr>
            <w:webHidden/>
          </w:rPr>
        </w:r>
        <w:r>
          <w:rPr>
            <w:webHidden/>
          </w:rPr>
          <w:fldChar w:fldCharType="separate"/>
        </w:r>
        <w:r>
          <w:rPr>
            <w:webHidden/>
          </w:rPr>
          <w:t>31</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4" w:history="1">
        <w:r w:rsidRPr="006937E6">
          <w:rPr>
            <w:rStyle w:val="Hyperlink"/>
            <w:highlight w:val="yellow"/>
          </w:rPr>
          <w:t>Figure 10. Az NVH-k értékelésének lépései</w:t>
        </w:r>
        <w:r>
          <w:rPr>
            <w:webHidden/>
          </w:rPr>
          <w:tab/>
        </w:r>
        <w:r>
          <w:rPr>
            <w:webHidden/>
          </w:rPr>
          <w:fldChar w:fldCharType="begin"/>
        </w:r>
        <w:r>
          <w:rPr>
            <w:webHidden/>
          </w:rPr>
          <w:instrText xml:space="preserve"> PAGEREF _Toc464410814 \h </w:instrText>
        </w:r>
        <w:r>
          <w:rPr>
            <w:webHidden/>
          </w:rPr>
        </w:r>
        <w:r>
          <w:rPr>
            <w:webHidden/>
          </w:rPr>
          <w:fldChar w:fldCharType="separate"/>
        </w:r>
        <w:r>
          <w:rPr>
            <w:webHidden/>
          </w:rPr>
          <w:t>38</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5" w:history="1">
        <w:r w:rsidRPr="006937E6">
          <w:rPr>
            <w:rStyle w:val="Hyperlink"/>
            <w:highlight w:val="yellow"/>
          </w:rPr>
          <w:t>Figure 11. Lehetséges kapcsolatok az NVH közös célkitűzései és intézkedéscsoportjai között</w:t>
        </w:r>
        <w:r>
          <w:rPr>
            <w:webHidden/>
          </w:rPr>
          <w:tab/>
        </w:r>
        <w:r>
          <w:rPr>
            <w:webHidden/>
          </w:rPr>
          <w:fldChar w:fldCharType="begin"/>
        </w:r>
        <w:r>
          <w:rPr>
            <w:webHidden/>
          </w:rPr>
          <w:instrText xml:space="preserve"> PAGEREF _Toc464410815 \h </w:instrText>
        </w:r>
        <w:r>
          <w:rPr>
            <w:webHidden/>
          </w:rPr>
        </w:r>
        <w:r>
          <w:rPr>
            <w:webHidden/>
          </w:rPr>
          <w:fldChar w:fldCharType="separate"/>
        </w:r>
        <w:r>
          <w:rPr>
            <w:webHidden/>
          </w:rPr>
          <w:t>46</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6" w:history="1">
        <w:r w:rsidRPr="006937E6">
          <w:rPr>
            <w:rStyle w:val="Hyperlink"/>
            <w:highlight w:val="yellow"/>
          </w:rPr>
          <w:t>Figure 12. Az NVH közös és programspecifikus célkitűzéseinek, intézkedéscsoportjainak, valamint várt kimeneteinek, eredményeinek és hatásainak összekapcsolása</w:t>
        </w:r>
        <w:r>
          <w:rPr>
            <w:webHidden/>
          </w:rPr>
          <w:tab/>
        </w:r>
        <w:r>
          <w:rPr>
            <w:webHidden/>
          </w:rPr>
          <w:fldChar w:fldCharType="begin"/>
        </w:r>
        <w:r>
          <w:rPr>
            <w:webHidden/>
          </w:rPr>
          <w:instrText xml:space="preserve"> PAGEREF _Toc464410816 \h </w:instrText>
        </w:r>
        <w:r>
          <w:rPr>
            <w:webHidden/>
          </w:rPr>
        </w:r>
        <w:r>
          <w:rPr>
            <w:webHidden/>
          </w:rPr>
          <w:fldChar w:fldCharType="separate"/>
        </w:r>
        <w:r>
          <w:rPr>
            <w:webHidden/>
          </w:rPr>
          <w:t>49</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7" w:history="1">
        <w:r w:rsidRPr="006937E6">
          <w:rPr>
            <w:rStyle w:val="Hyperlink"/>
            <w:highlight w:val="yellow"/>
          </w:rPr>
          <w:t>Figure 13. Az értékelési kérdések, elbírálási kritériumok és mutatók közötti konzisztencia</w:t>
        </w:r>
        <w:r>
          <w:rPr>
            <w:webHidden/>
          </w:rPr>
          <w:tab/>
        </w:r>
        <w:r>
          <w:rPr>
            <w:webHidden/>
          </w:rPr>
          <w:fldChar w:fldCharType="begin"/>
        </w:r>
        <w:r>
          <w:rPr>
            <w:webHidden/>
          </w:rPr>
          <w:instrText xml:space="preserve"> PAGEREF _Toc464410817 \h </w:instrText>
        </w:r>
        <w:r>
          <w:rPr>
            <w:webHidden/>
          </w:rPr>
        </w:r>
        <w:r>
          <w:rPr>
            <w:webHidden/>
          </w:rPr>
          <w:fldChar w:fldCharType="separate"/>
        </w:r>
        <w:r>
          <w:rPr>
            <w:webHidden/>
          </w:rPr>
          <w:t>55</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8" w:history="1">
        <w:r w:rsidRPr="006937E6">
          <w:rPr>
            <w:rStyle w:val="Hyperlink"/>
            <w:highlight w:val="yellow"/>
          </w:rPr>
          <w:t>Figure 14. Az NVH beavatkozási logikája és értékelési elemei közötti konzisztencia</w:t>
        </w:r>
        <w:r>
          <w:rPr>
            <w:webHidden/>
          </w:rPr>
          <w:tab/>
        </w:r>
        <w:r>
          <w:rPr>
            <w:webHidden/>
          </w:rPr>
          <w:fldChar w:fldCharType="begin"/>
        </w:r>
        <w:r>
          <w:rPr>
            <w:webHidden/>
          </w:rPr>
          <w:instrText xml:space="preserve"> PAGEREF _Toc464410818 \h </w:instrText>
        </w:r>
        <w:r>
          <w:rPr>
            <w:webHidden/>
          </w:rPr>
        </w:r>
        <w:r>
          <w:rPr>
            <w:webHidden/>
          </w:rPr>
          <w:fldChar w:fldCharType="separate"/>
        </w:r>
        <w:r>
          <w:rPr>
            <w:webHidden/>
          </w:rPr>
          <w:t>60</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19" w:history="1">
        <w:r w:rsidRPr="006937E6">
          <w:rPr>
            <w:rStyle w:val="Hyperlink"/>
            <w:highlight w:val="yellow"/>
          </w:rPr>
          <w:t>Figure 15. Az érdekeltek felelősségi körei az NVH-értékelés előkészítésében</w:t>
        </w:r>
        <w:r>
          <w:rPr>
            <w:webHidden/>
          </w:rPr>
          <w:tab/>
        </w:r>
        <w:r>
          <w:rPr>
            <w:webHidden/>
          </w:rPr>
          <w:fldChar w:fldCharType="begin"/>
        </w:r>
        <w:r>
          <w:rPr>
            <w:webHidden/>
          </w:rPr>
          <w:instrText xml:space="preserve"> PAGEREF _Toc464410819 \h </w:instrText>
        </w:r>
        <w:r>
          <w:rPr>
            <w:webHidden/>
          </w:rPr>
        </w:r>
        <w:r>
          <w:rPr>
            <w:webHidden/>
          </w:rPr>
          <w:fldChar w:fldCharType="separate"/>
        </w:r>
        <w:r>
          <w:rPr>
            <w:webHidden/>
          </w:rPr>
          <w:t>64</w:t>
        </w:r>
        <w:r>
          <w:rPr>
            <w:webHidden/>
          </w:rPr>
          <w:fldChar w:fldCharType="end"/>
        </w:r>
      </w:hyperlink>
    </w:p>
    <w:p w:rsidR="00170A1A" w:rsidRDefault="00170A1A">
      <w:pPr>
        <w:pStyle w:val="TOC1"/>
        <w:rPr>
          <w:rFonts w:asciiTheme="minorHAnsi" w:eastAsiaTheme="minorEastAsia" w:hAnsiTheme="minorHAnsi" w:cstheme="minorBidi"/>
          <w:color w:val="auto"/>
          <w:sz w:val="22"/>
          <w:szCs w:val="22"/>
          <w:lang w:val="en-GB" w:eastAsia="en-GB"/>
        </w:rPr>
      </w:pPr>
      <w:hyperlink w:anchor="_Toc464410820" w:history="1">
        <w:r w:rsidRPr="006937E6">
          <w:rPr>
            <w:rStyle w:val="Hyperlink"/>
            <w:highlight w:val="yellow"/>
          </w:rPr>
          <w:t>Figure 16. Az érdekeltek felelősségi körei az NVH-értékelés megvalósításában</w:t>
        </w:r>
        <w:r>
          <w:rPr>
            <w:webHidden/>
          </w:rPr>
          <w:tab/>
        </w:r>
        <w:r>
          <w:rPr>
            <w:webHidden/>
          </w:rPr>
          <w:fldChar w:fldCharType="begin"/>
        </w:r>
        <w:r>
          <w:rPr>
            <w:webHidden/>
          </w:rPr>
          <w:instrText xml:space="preserve"> PAGEREF _Toc464410820 \h </w:instrText>
        </w:r>
        <w:r>
          <w:rPr>
            <w:webHidden/>
          </w:rPr>
        </w:r>
        <w:r>
          <w:rPr>
            <w:webHidden/>
          </w:rPr>
          <w:fldChar w:fldCharType="separate"/>
        </w:r>
        <w:r>
          <w:rPr>
            <w:webHidden/>
          </w:rPr>
          <w:t>66</w:t>
        </w:r>
        <w:r>
          <w:rPr>
            <w:webHidden/>
          </w:rPr>
          <w:fldChar w:fldCharType="end"/>
        </w:r>
      </w:hyperlink>
    </w:p>
    <w:p w:rsidR="00170A1A" w:rsidRPr="00450DBF" w:rsidRDefault="00170A1A" w:rsidP="00EF2430">
      <w:pPr>
        <w:pStyle w:val="TOC2"/>
        <w:rPr>
          <w:color w:val="576C88" w:themeColor="text2" w:themeTint="D9"/>
        </w:rPr>
      </w:pPr>
      <w:r w:rsidRPr="00450DBF">
        <w:rPr>
          <w:rFonts w:cs="Arial"/>
          <w:color w:val="576C88" w:themeColor="text2" w:themeTint="D9"/>
        </w:rPr>
        <w:fldChar w:fldCharType="end"/>
      </w:r>
    </w:p>
    <w:p w:rsidR="00170A1A" w:rsidRDefault="00170A1A">
      <w:pPr>
        <w:pStyle w:val="TOC2"/>
        <w:rPr>
          <w:rFonts w:asciiTheme="minorHAnsi" w:eastAsiaTheme="minorEastAsia" w:hAnsiTheme="minorHAnsi" w:cstheme="minorBidi"/>
          <w:color w:val="auto"/>
          <w:sz w:val="22"/>
          <w:lang w:val="en-GB" w:eastAsia="en-GB"/>
        </w:rPr>
      </w:pPr>
      <w:r w:rsidRPr="00450DBF">
        <w:rPr>
          <w:rFonts w:cs="Arial"/>
          <w:color w:val="576C88" w:themeColor="text2" w:themeTint="D9"/>
        </w:rPr>
        <w:fldChar w:fldCharType="begin"/>
      </w:r>
      <w:r w:rsidRPr="00450DBF">
        <w:rPr>
          <w:rFonts w:cs="Arial"/>
          <w:color w:val="576C88" w:themeColor="text2" w:themeTint="D9"/>
        </w:rPr>
        <w:instrText xml:space="preserve"> TOC \h \z \t "Überschrift 1;1;Überschrift 2;2;Überschrift 3;3;H_Heading_boxes;2" </w:instrText>
      </w:r>
      <w:r w:rsidRPr="00450DBF">
        <w:rPr>
          <w:rFonts w:cs="Arial"/>
          <w:color w:val="576C88" w:themeColor="text2" w:themeTint="D9"/>
        </w:rPr>
        <w:fldChar w:fldCharType="separate"/>
      </w:r>
      <w:hyperlink w:anchor="_Toc464410821" w:history="1">
        <w:r w:rsidRPr="00D64946">
          <w:rPr>
            <w:rStyle w:val="Hyperlink"/>
            <w:highlight w:val="yellow"/>
          </w:rPr>
          <w:t>Box 1. Értékelésirányító csoport: az értékelési folyamat kezelésének eszköze</w:t>
        </w:r>
        <w:r>
          <w:rPr>
            <w:webHidden/>
          </w:rPr>
          <w:tab/>
        </w:r>
        <w:r>
          <w:rPr>
            <w:webHidden/>
          </w:rPr>
          <w:fldChar w:fldCharType="begin"/>
        </w:r>
        <w:r>
          <w:rPr>
            <w:webHidden/>
          </w:rPr>
          <w:instrText xml:space="preserve"> PAGEREF _Toc464410821 \h </w:instrText>
        </w:r>
        <w:r>
          <w:rPr>
            <w:webHidden/>
          </w:rPr>
        </w:r>
        <w:r>
          <w:rPr>
            <w:webHidden/>
          </w:rPr>
          <w:fldChar w:fldCharType="separate"/>
        </w:r>
        <w:r>
          <w:rPr>
            <w:webHidden/>
          </w:rPr>
          <w:t>36</w:t>
        </w:r>
        <w:r>
          <w:rPr>
            <w:webHidden/>
          </w:rPr>
          <w:fldChar w:fldCharType="end"/>
        </w:r>
      </w:hyperlink>
    </w:p>
    <w:p w:rsidR="00170A1A" w:rsidRDefault="00170A1A">
      <w:pPr>
        <w:pStyle w:val="TOC2"/>
        <w:rPr>
          <w:rFonts w:asciiTheme="minorHAnsi" w:eastAsiaTheme="minorEastAsia" w:hAnsiTheme="minorHAnsi" w:cstheme="minorBidi"/>
          <w:color w:val="auto"/>
          <w:sz w:val="22"/>
          <w:lang w:val="en-GB" w:eastAsia="en-GB"/>
        </w:rPr>
      </w:pPr>
      <w:hyperlink w:anchor="_Toc464410822" w:history="1">
        <w:r w:rsidRPr="00D64946">
          <w:rPr>
            <w:rStyle w:val="Hyperlink"/>
            <w:highlight w:val="yellow"/>
          </w:rPr>
          <w:t>Box 2. Értékelési felhatalmazás</w:t>
        </w:r>
        <w:r>
          <w:rPr>
            <w:webHidden/>
          </w:rPr>
          <w:tab/>
        </w:r>
        <w:r>
          <w:rPr>
            <w:webHidden/>
          </w:rPr>
          <w:fldChar w:fldCharType="begin"/>
        </w:r>
        <w:r>
          <w:rPr>
            <w:webHidden/>
          </w:rPr>
          <w:instrText xml:space="preserve"> PAGEREF _Toc464410822 \h </w:instrText>
        </w:r>
        <w:r>
          <w:rPr>
            <w:webHidden/>
          </w:rPr>
        </w:r>
        <w:r>
          <w:rPr>
            <w:webHidden/>
          </w:rPr>
          <w:fldChar w:fldCharType="separate"/>
        </w:r>
        <w:r>
          <w:rPr>
            <w:webHidden/>
          </w:rPr>
          <w:t>62</w:t>
        </w:r>
        <w:r>
          <w:rPr>
            <w:webHidden/>
          </w:rPr>
          <w:fldChar w:fldCharType="end"/>
        </w:r>
      </w:hyperlink>
    </w:p>
    <w:p w:rsidR="00170A1A" w:rsidRDefault="00170A1A" w:rsidP="005A6A10">
      <w:pPr>
        <w:pStyle w:val="HStandard"/>
        <w:tabs>
          <w:tab w:val="right" w:leader="dot" w:pos="8742"/>
        </w:tabs>
        <w:sectPr w:rsidR="00170A1A"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rsidRPr="00450DBF">
        <w:fldChar w:fldCharType="end"/>
      </w:r>
    </w:p>
    <w:p w:rsidR="00170A1A" w:rsidRDefault="00170A1A" w:rsidP="005A6A10">
      <w:pPr>
        <w:pStyle w:val="HStandard"/>
        <w:tabs>
          <w:tab w:val="right" w:leader="dot" w:pos="8742"/>
        </w:tabs>
        <w:rPr>
          <w:b/>
          <w:color w:val="E7E6E6" w:themeColor="background2"/>
        </w:rPr>
      </w:pPr>
      <w:r>
        <w:lastRenderedPageBreak/>
        <w:br w:type="page"/>
      </w:r>
    </w:p>
    <w:p w:rsidR="00170A1A" w:rsidRDefault="00170A1A" w:rsidP="005A6A10">
      <w:pPr>
        <w:pStyle w:val="HStandard"/>
        <w:tabs>
          <w:tab w:val="right" w:leader="dot" w:pos="8742"/>
        </w:tabs>
        <w:rPr>
          <w:b/>
          <w:color w:val="E7E6E6" w:themeColor="background2"/>
        </w:rPr>
      </w:pPr>
      <w:r>
        <w:rPr>
          <w:b/>
          <w:color w:val="E7E6E6" w:themeColor="background2"/>
        </w:rPr>
        <w:lastRenderedPageBreak/>
        <w:t>ACRONYM LIST</w:t>
      </w:r>
    </w:p>
    <w:p w:rsidR="00170A1A" w:rsidRPr="00AE6F26" w:rsidRDefault="00170A1A" w:rsidP="00AE6F26">
      <w:pPr>
        <w:pStyle w:val="HStandard"/>
      </w:pPr>
      <w:r>
        <w:t>AIR</w:t>
      </w:r>
      <w:r>
        <w:tab/>
      </w:r>
      <w:r>
        <w:tab/>
      </w:r>
      <w:r>
        <w:tab/>
        <w:t>Annual Implementation Report</w:t>
      </w:r>
    </w:p>
    <w:p w:rsidR="00170A1A" w:rsidRPr="00AE6F26" w:rsidRDefault="00170A1A" w:rsidP="00AE6F26">
      <w:pPr>
        <w:pStyle w:val="HStandard"/>
      </w:pPr>
      <w:r>
        <w:t>AWU</w:t>
      </w:r>
      <w:r>
        <w:tab/>
      </w:r>
      <w:r>
        <w:tab/>
        <w:t>Annual Work Units</w:t>
      </w:r>
    </w:p>
    <w:p w:rsidR="00170A1A" w:rsidRPr="00AE6F26" w:rsidRDefault="00170A1A" w:rsidP="00AE6F26">
      <w:pPr>
        <w:pStyle w:val="HStandard"/>
      </w:pPr>
      <w:r>
        <w:t>CAP</w:t>
      </w:r>
      <w:r>
        <w:tab/>
      </w:r>
      <w:r>
        <w:tab/>
        <w:t xml:space="preserve">Common Agricultural Policy </w:t>
      </w:r>
    </w:p>
    <w:p w:rsidR="00170A1A" w:rsidRPr="00AE6F26" w:rsidRDefault="00170A1A" w:rsidP="00AE6F26">
      <w:pPr>
        <w:pStyle w:val="HStandard"/>
      </w:pPr>
      <w:r>
        <w:t>CCI</w:t>
      </w:r>
      <w:r>
        <w:tab/>
      </w:r>
      <w:r>
        <w:tab/>
        <w:t>Common Context Indicators</w:t>
      </w:r>
    </w:p>
    <w:p w:rsidR="00170A1A" w:rsidRPr="00AE6F26" w:rsidRDefault="00170A1A" w:rsidP="00AE6F26">
      <w:pPr>
        <w:pStyle w:val="HStandard"/>
      </w:pPr>
      <w:r>
        <w:t>CEQ</w:t>
      </w:r>
      <w:r>
        <w:tab/>
      </w:r>
      <w:r>
        <w:tab/>
        <w:t>Common Evaluation Questions</w:t>
      </w:r>
    </w:p>
    <w:p w:rsidR="00170A1A" w:rsidRPr="00AE6F26" w:rsidRDefault="00170A1A" w:rsidP="00AE6F26">
      <w:pPr>
        <w:pStyle w:val="HStandard"/>
      </w:pPr>
      <w:r>
        <w:t>CLLD</w:t>
      </w:r>
      <w:r>
        <w:tab/>
      </w:r>
      <w:r>
        <w:tab/>
        <w:t>Community-Led Local Development</w:t>
      </w:r>
    </w:p>
    <w:p w:rsidR="00170A1A" w:rsidRPr="00AE6F26" w:rsidRDefault="00170A1A" w:rsidP="00AE6F26">
      <w:pPr>
        <w:pStyle w:val="HStandard"/>
      </w:pPr>
      <w:r>
        <w:t xml:space="preserve">CMES </w:t>
      </w:r>
      <w:r>
        <w:tab/>
      </w:r>
      <w:r>
        <w:tab/>
        <w:t>Common Monitoring and Evaluation System</w:t>
      </w:r>
    </w:p>
    <w:p w:rsidR="00170A1A" w:rsidRPr="00AE6F26" w:rsidRDefault="00170A1A" w:rsidP="00AE6F26">
      <w:pPr>
        <w:pStyle w:val="HStandard"/>
      </w:pPr>
      <w:r>
        <w:t xml:space="preserve">CO </w:t>
      </w:r>
      <w:r>
        <w:tab/>
      </w:r>
      <w:r>
        <w:tab/>
        <w:t>Common objective</w:t>
      </w:r>
    </w:p>
    <w:p w:rsidR="00170A1A" w:rsidRPr="00AE6F26" w:rsidRDefault="00170A1A" w:rsidP="00AE6F26">
      <w:pPr>
        <w:pStyle w:val="HStandard"/>
      </w:pPr>
      <w:r>
        <w:t>DG AGRI</w:t>
      </w:r>
      <w:r>
        <w:tab/>
        <w:t>Directorate-General for Agriculture and Rural Development</w:t>
      </w:r>
    </w:p>
    <w:p w:rsidR="00170A1A" w:rsidRPr="00AE6F26" w:rsidRDefault="00170A1A" w:rsidP="00AE6F26">
      <w:pPr>
        <w:pStyle w:val="HStandard"/>
      </w:pPr>
      <w:r>
        <w:t>EARDF</w:t>
      </w:r>
      <w:r>
        <w:tab/>
      </w:r>
      <w:r>
        <w:tab/>
        <w:t>European Agricultural Fund for Rural Development</w:t>
      </w:r>
    </w:p>
    <w:p w:rsidR="00170A1A" w:rsidRPr="00AE6F26" w:rsidRDefault="00170A1A" w:rsidP="00AE6F26">
      <w:pPr>
        <w:pStyle w:val="HStandard"/>
      </w:pPr>
      <w:r>
        <w:t>EIP</w:t>
      </w:r>
      <w:r>
        <w:tab/>
      </w:r>
      <w:r>
        <w:tab/>
      </w:r>
      <w:r>
        <w:tab/>
        <w:t>European Innovation Partnership</w:t>
      </w:r>
    </w:p>
    <w:p w:rsidR="00170A1A" w:rsidRPr="00AE6F26" w:rsidRDefault="00170A1A" w:rsidP="00AE6F26">
      <w:pPr>
        <w:pStyle w:val="HStandard"/>
      </w:pPr>
      <w:r>
        <w:t>ENRD</w:t>
      </w:r>
      <w:r>
        <w:tab/>
      </w:r>
      <w:r>
        <w:tab/>
        <w:t>European Network for Rural Development</w:t>
      </w:r>
    </w:p>
    <w:p w:rsidR="00170A1A" w:rsidRPr="000D1D32" w:rsidRDefault="00170A1A" w:rsidP="00AE6F26">
      <w:pPr>
        <w:pStyle w:val="HStandard"/>
      </w:pPr>
      <w:r>
        <w:t>EQ</w:t>
      </w:r>
      <w:r>
        <w:tab/>
      </w:r>
      <w:r>
        <w:tab/>
      </w:r>
      <w:r>
        <w:tab/>
        <w:t>Evaluation Question</w:t>
      </w:r>
    </w:p>
    <w:p w:rsidR="00170A1A" w:rsidRPr="000D1D32" w:rsidRDefault="00170A1A" w:rsidP="00AE6F26">
      <w:pPr>
        <w:pStyle w:val="HStandard"/>
      </w:pPr>
      <w:r>
        <w:t>EP</w:t>
      </w:r>
      <w:r>
        <w:tab/>
      </w:r>
      <w:r>
        <w:tab/>
      </w:r>
      <w:r>
        <w:tab/>
        <w:t>Evaluation Plan</w:t>
      </w:r>
    </w:p>
    <w:p w:rsidR="00170A1A" w:rsidRPr="00AE6F26" w:rsidRDefault="00170A1A" w:rsidP="00AE6F26">
      <w:pPr>
        <w:pStyle w:val="HStandard"/>
      </w:pPr>
      <w:r>
        <w:t>ERDF</w:t>
      </w:r>
      <w:r>
        <w:tab/>
      </w:r>
      <w:r>
        <w:tab/>
        <w:t>European Regional Development Fund</w:t>
      </w:r>
    </w:p>
    <w:p w:rsidR="00170A1A" w:rsidRPr="00AE6F26" w:rsidRDefault="00170A1A" w:rsidP="00AE6F26">
      <w:pPr>
        <w:pStyle w:val="HStandard"/>
      </w:pPr>
      <w:r>
        <w:t>ESI</w:t>
      </w:r>
      <w:r>
        <w:tab/>
      </w:r>
      <w:r>
        <w:tab/>
      </w:r>
      <w:r>
        <w:tab/>
        <w:t>European Structural and Investment</w:t>
      </w:r>
    </w:p>
    <w:p w:rsidR="00170A1A" w:rsidRPr="00AE6F26" w:rsidRDefault="00170A1A" w:rsidP="00AE6F26">
      <w:pPr>
        <w:pStyle w:val="HStandard"/>
      </w:pPr>
      <w:r>
        <w:t>EU</w:t>
      </w:r>
      <w:r>
        <w:tab/>
      </w:r>
      <w:r>
        <w:tab/>
      </w:r>
      <w:r>
        <w:tab/>
        <w:t>European Union</w:t>
      </w:r>
    </w:p>
    <w:p w:rsidR="00170A1A" w:rsidRPr="00AE6F26" w:rsidRDefault="00170A1A" w:rsidP="00AE6F26">
      <w:pPr>
        <w:pStyle w:val="HStandard"/>
      </w:pPr>
      <w:r>
        <w:t>FA</w:t>
      </w:r>
      <w:r>
        <w:tab/>
      </w:r>
      <w:r>
        <w:tab/>
      </w:r>
      <w:r>
        <w:tab/>
        <w:t>Focus Area</w:t>
      </w:r>
    </w:p>
    <w:p w:rsidR="00170A1A" w:rsidRPr="00AE6F26" w:rsidRDefault="00170A1A" w:rsidP="00AE6F26">
      <w:pPr>
        <w:pStyle w:val="HStandard"/>
      </w:pPr>
      <w:r>
        <w:t>FAO</w:t>
      </w:r>
      <w:r>
        <w:tab/>
      </w:r>
      <w:r>
        <w:tab/>
      </w:r>
      <w:hyperlink r:id="rId16" w:history="1">
        <w:r>
          <w:t>Food and Agriculture Organization</w:t>
        </w:r>
      </w:hyperlink>
    </w:p>
    <w:p w:rsidR="00170A1A" w:rsidRPr="000D1D32" w:rsidRDefault="00170A1A" w:rsidP="00AE6F26">
      <w:pPr>
        <w:pStyle w:val="HStandard"/>
      </w:pPr>
      <w:r>
        <w:t>GIS</w:t>
      </w:r>
      <w:r>
        <w:tab/>
      </w:r>
      <w:r>
        <w:tab/>
      </w:r>
      <w:hyperlink r:id="rId17" w:history="1">
        <w:r>
          <w:t>Geographic information system</w:t>
        </w:r>
      </w:hyperlink>
    </w:p>
    <w:p w:rsidR="00170A1A" w:rsidRPr="00C85637" w:rsidRDefault="00170A1A" w:rsidP="00AE6F26">
      <w:pPr>
        <w:pStyle w:val="HStandard"/>
      </w:pPr>
      <w:r>
        <w:t>GIZ</w:t>
      </w:r>
      <w:r>
        <w:tab/>
      </w:r>
      <w:r>
        <w:tab/>
      </w:r>
      <w:r>
        <w:tab/>
        <w:t>Gesellschaft für Internationale Zusammenarbeit</w:t>
      </w:r>
    </w:p>
    <w:p w:rsidR="00170A1A" w:rsidRPr="00C85637" w:rsidRDefault="00170A1A" w:rsidP="00AE6F26">
      <w:pPr>
        <w:pStyle w:val="HStandard"/>
      </w:pPr>
      <w:r>
        <w:t>IL</w:t>
      </w:r>
      <w:r>
        <w:tab/>
      </w:r>
      <w:r>
        <w:tab/>
      </w:r>
      <w:r>
        <w:tab/>
        <w:t>Intervention Logic</w:t>
      </w:r>
    </w:p>
    <w:p w:rsidR="00170A1A" w:rsidRPr="00450DBF" w:rsidRDefault="00170A1A" w:rsidP="00AE6F26">
      <w:pPr>
        <w:pStyle w:val="HStandard"/>
      </w:pPr>
      <w:r>
        <w:t>JC</w:t>
      </w:r>
      <w:r>
        <w:tab/>
      </w:r>
      <w:r>
        <w:tab/>
      </w:r>
      <w:r>
        <w:tab/>
        <w:t>Judgement Criteria</w:t>
      </w:r>
    </w:p>
    <w:p w:rsidR="00170A1A" w:rsidRPr="00450DBF" w:rsidRDefault="00170A1A" w:rsidP="00AE6F26">
      <w:pPr>
        <w:pStyle w:val="HStandard"/>
      </w:pPr>
      <w:r>
        <w:t>LAG</w:t>
      </w:r>
      <w:r>
        <w:tab/>
      </w:r>
      <w:r>
        <w:tab/>
        <w:t>Local Action Group</w:t>
      </w:r>
    </w:p>
    <w:p w:rsidR="00170A1A" w:rsidRPr="00AE6F26" w:rsidRDefault="00170A1A" w:rsidP="00AE6F26">
      <w:pPr>
        <w:pStyle w:val="HStandard"/>
      </w:pPr>
      <w:r>
        <w:t>LEADER</w:t>
      </w:r>
      <w:r>
        <w:tab/>
        <w:t>Liaison Entre Actions de Développement de l'Économie Rurale</w:t>
      </w:r>
    </w:p>
    <w:p w:rsidR="00170A1A" w:rsidRPr="00450DBF" w:rsidRDefault="00170A1A" w:rsidP="00AE6F26">
      <w:pPr>
        <w:pStyle w:val="HStandard"/>
      </w:pPr>
      <w:r>
        <w:t>MA</w:t>
      </w:r>
      <w:r>
        <w:tab/>
      </w:r>
      <w:r>
        <w:tab/>
      </w:r>
      <w:r>
        <w:tab/>
        <w:t>Managing Authority</w:t>
      </w:r>
    </w:p>
    <w:p w:rsidR="00170A1A" w:rsidRPr="00AE6F26" w:rsidRDefault="00170A1A" w:rsidP="00AE6F26">
      <w:pPr>
        <w:pStyle w:val="HStandard"/>
      </w:pPr>
      <w:r>
        <w:t>MAPP</w:t>
      </w:r>
      <w:r>
        <w:tab/>
      </w:r>
      <w:r>
        <w:tab/>
        <w:t>Method for Impact Assessment of Programmes and Project</w:t>
      </w:r>
    </w:p>
    <w:p w:rsidR="00170A1A" w:rsidRPr="00AE6F26" w:rsidRDefault="00170A1A" w:rsidP="00AE6F26">
      <w:pPr>
        <w:pStyle w:val="HStandard"/>
      </w:pPr>
      <w:r>
        <w:t>MS</w:t>
      </w:r>
      <w:r>
        <w:tab/>
      </w:r>
      <w:r>
        <w:tab/>
      </w:r>
      <w:r>
        <w:tab/>
        <w:t>Member State</w:t>
      </w:r>
    </w:p>
    <w:p w:rsidR="00170A1A" w:rsidRPr="00AE6F26" w:rsidRDefault="00170A1A" w:rsidP="00AE6F26">
      <w:pPr>
        <w:pStyle w:val="HStandard"/>
      </w:pPr>
      <w:r>
        <w:t>NGO</w:t>
      </w:r>
      <w:r>
        <w:tab/>
      </w:r>
      <w:r>
        <w:tab/>
        <w:t>Non-governmental organization</w:t>
      </w:r>
    </w:p>
    <w:p w:rsidR="00170A1A" w:rsidRPr="00AE6F26" w:rsidRDefault="00170A1A" w:rsidP="00AE6F26">
      <w:pPr>
        <w:pStyle w:val="HStandard"/>
      </w:pPr>
      <w:r>
        <w:t>NRN</w:t>
      </w:r>
      <w:r>
        <w:tab/>
      </w:r>
      <w:r>
        <w:tab/>
        <w:t>National Rural Network</w:t>
      </w:r>
    </w:p>
    <w:p w:rsidR="00170A1A" w:rsidRPr="00AE6F26" w:rsidRDefault="00170A1A" w:rsidP="00AE6F26">
      <w:pPr>
        <w:pStyle w:val="HStandard"/>
      </w:pPr>
      <w:r>
        <w:t>NRNP</w:t>
      </w:r>
      <w:r>
        <w:tab/>
      </w:r>
      <w:r>
        <w:tab/>
        <w:t>National Rural Network Programme</w:t>
      </w:r>
    </w:p>
    <w:p w:rsidR="00170A1A" w:rsidRPr="00AE6F26" w:rsidRDefault="00170A1A" w:rsidP="00AE6F26">
      <w:pPr>
        <w:pStyle w:val="HStandard"/>
      </w:pPr>
      <w:r>
        <w:t>NSU</w:t>
      </w:r>
      <w:r>
        <w:tab/>
      </w:r>
      <w:r>
        <w:tab/>
        <w:t>Network Support Unit</w:t>
      </w:r>
    </w:p>
    <w:p w:rsidR="00170A1A" w:rsidRPr="00AE6F26" w:rsidRDefault="00170A1A" w:rsidP="00AE6F26">
      <w:pPr>
        <w:pStyle w:val="HStandard"/>
      </w:pPr>
      <w:r>
        <w:t>O</w:t>
      </w:r>
      <w:r>
        <w:tab/>
      </w:r>
      <w:r>
        <w:tab/>
      </w:r>
      <w:r>
        <w:tab/>
        <w:t>Output indicators</w:t>
      </w:r>
    </w:p>
    <w:p w:rsidR="00170A1A" w:rsidRPr="00AE6F26" w:rsidRDefault="00170A1A" w:rsidP="00AE6F26">
      <w:pPr>
        <w:pStyle w:val="HStandard"/>
      </w:pPr>
      <w:r>
        <w:lastRenderedPageBreak/>
        <w:t>OP</w:t>
      </w:r>
      <w:r>
        <w:tab/>
      </w:r>
      <w:r>
        <w:tab/>
      </w:r>
      <w:r>
        <w:tab/>
        <w:t>Operational Programme</w:t>
      </w:r>
    </w:p>
    <w:p w:rsidR="00170A1A" w:rsidRPr="00AE6F26" w:rsidRDefault="00170A1A" w:rsidP="00AE6F26">
      <w:pPr>
        <w:pStyle w:val="HStandard"/>
      </w:pPr>
      <w:r>
        <w:t>PA</w:t>
      </w:r>
      <w:r>
        <w:tab/>
      </w:r>
      <w:r>
        <w:tab/>
      </w:r>
      <w:r>
        <w:tab/>
        <w:t>Paying Agency</w:t>
      </w:r>
    </w:p>
    <w:p w:rsidR="00170A1A" w:rsidRPr="00AE6F26" w:rsidRDefault="00170A1A" w:rsidP="00AE6F26">
      <w:pPr>
        <w:pStyle w:val="HStandard"/>
      </w:pPr>
      <w:r>
        <w:t>PSEQ</w:t>
      </w:r>
      <w:r>
        <w:tab/>
      </w:r>
      <w:r>
        <w:tab/>
        <w:t>Programme Specific Evaluation Question</w:t>
      </w:r>
    </w:p>
    <w:p w:rsidR="00170A1A" w:rsidRPr="00AE6F26" w:rsidRDefault="00170A1A" w:rsidP="00AE6F26">
      <w:pPr>
        <w:pStyle w:val="HStandard"/>
      </w:pPr>
      <w:r>
        <w:t xml:space="preserve">PSI </w:t>
      </w:r>
      <w:r>
        <w:tab/>
      </w:r>
      <w:r>
        <w:tab/>
        <w:t>Programme specific impacts</w:t>
      </w:r>
    </w:p>
    <w:p w:rsidR="00170A1A" w:rsidRPr="00AE6F26" w:rsidRDefault="00170A1A" w:rsidP="00AE6F26">
      <w:pPr>
        <w:pStyle w:val="HStandard"/>
      </w:pPr>
      <w:r>
        <w:t xml:space="preserve">PSO </w:t>
      </w:r>
      <w:r>
        <w:tab/>
      </w:r>
      <w:r>
        <w:tab/>
        <w:t>Programme specific objective</w:t>
      </w:r>
    </w:p>
    <w:p w:rsidR="00170A1A" w:rsidRPr="00AE6F26" w:rsidRDefault="00170A1A" w:rsidP="00AE6F26">
      <w:pPr>
        <w:pStyle w:val="HStandard"/>
      </w:pPr>
      <w:r>
        <w:t xml:space="preserve">PSR </w:t>
      </w:r>
      <w:r>
        <w:tab/>
      </w:r>
      <w:r>
        <w:tab/>
        <w:t>Programme specific result</w:t>
      </w:r>
    </w:p>
    <w:p w:rsidR="00170A1A" w:rsidRPr="00AE6F26" w:rsidRDefault="00170A1A" w:rsidP="00AE6F26">
      <w:pPr>
        <w:pStyle w:val="HStandard"/>
      </w:pPr>
      <w:r>
        <w:t>R</w:t>
      </w:r>
      <w:r>
        <w:tab/>
      </w:r>
      <w:r>
        <w:tab/>
      </w:r>
      <w:r>
        <w:tab/>
        <w:t>Result indicators</w:t>
      </w:r>
    </w:p>
    <w:p w:rsidR="00170A1A" w:rsidRPr="00AE6F26" w:rsidRDefault="00170A1A" w:rsidP="00AE6F26">
      <w:pPr>
        <w:pStyle w:val="HStandard"/>
      </w:pPr>
      <w:r>
        <w:t xml:space="preserve">RACER </w:t>
      </w:r>
      <w:r>
        <w:tab/>
        <w:t>Relevant, Accepted, Credible, Easy, Robust</w:t>
      </w:r>
    </w:p>
    <w:p w:rsidR="00170A1A" w:rsidRPr="00AE6F26" w:rsidRDefault="00170A1A" w:rsidP="00AE6F26">
      <w:pPr>
        <w:pStyle w:val="HStandard"/>
      </w:pPr>
      <w:r>
        <w:t>RD</w:t>
      </w:r>
      <w:r>
        <w:tab/>
      </w:r>
      <w:r>
        <w:tab/>
      </w:r>
      <w:r>
        <w:tab/>
        <w:t>Rural Development</w:t>
      </w:r>
    </w:p>
    <w:p w:rsidR="00170A1A" w:rsidRPr="00AE6F26" w:rsidRDefault="00170A1A" w:rsidP="00AE6F26">
      <w:pPr>
        <w:pStyle w:val="HStandard"/>
      </w:pPr>
      <w:r>
        <w:t>RDP</w:t>
      </w:r>
      <w:r>
        <w:tab/>
      </w:r>
      <w:r>
        <w:tab/>
        <w:t>Rural Development Programme</w:t>
      </w:r>
    </w:p>
    <w:p w:rsidR="00170A1A" w:rsidRPr="00AE6F26" w:rsidRDefault="00170A1A" w:rsidP="00AE6F26">
      <w:pPr>
        <w:pStyle w:val="HStandard"/>
        <w:rPr>
          <w:b/>
        </w:rPr>
      </w:pPr>
      <w:r>
        <w:t>SFC</w:t>
      </w:r>
      <w:r>
        <w:tab/>
      </w:r>
      <w:r>
        <w:tab/>
        <w:t>Shared Fund Management Common System</w:t>
      </w:r>
    </w:p>
    <w:p w:rsidR="00170A1A" w:rsidRPr="00AE6F26" w:rsidRDefault="00170A1A" w:rsidP="00AE6F26">
      <w:pPr>
        <w:pStyle w:val="HStandard"/>
      </w:pPr>
      <w:r>
        <w:t xml:space="preserve">SMART </w:t>
      </w:r>
      <w:r>
        <w:tab/>
        <w:t xml:space="preserve">Specific, Measurable, Achievable, Relevant, Time dependent </w:t>
      </w:r>
    </w:p>
    <w:p w:rsidR="00170A1A" w:rsidRPr="00AE6F26" w:rsidRDefault="00170A1A" w:rsidP="00AE6F26">
      <w:pPr>
        <w:pStyle w:val="HStandard"/>
      </w:pPr>
      <w:r>
        <w:t>SME</w:t>
      </w:r>
      <w:r>
        <w:tab/>
      </w:r>
      <w:r>
        <w:tab/>
        <w:t>Small and Medium Enterprise</w:t>
      </w:r>
    </w:p>
    <w:p w:rsidR="00170A1A" w:rsidRPr="00AE6F26" w:rsidRDefault="00170A1A" w:rsidP="00AE6F26">
      <w:pPr>
        <w:pStyle w:val="HStandard"/>
      </w:pPr>
      <w:r>
        <w:t>SG</w:t>
      </w:r>
      <w:r>
        <w:tab/>
      </w:r>
      <w:r>
        <w:tab/>
      </w:r>
      <w:r>
        <w:tab/>
        <w:t>Steering Group</w:t>
      </w:r>
    </w:p>
    <w:p w:rsidR="00170A1A" w:rsidRPr="00AE6F26" w:rsidRDefault="00170A1A" w:rsidP="00AE6F26">
      <w:pPr>
        <w:pStyle w:val="HStandard"/>
      </w:pPr>
      <w:r>
        <w:t>SNA</w:t>
      </w:r>
      <w:r>
        <w:tab/>
      </w:r>
      <w:r>
        <w:tab/>
        <w:t xml:space="preserve">Social Network Analysis </w:t>
      </w:r>
    </w:p>
    <w:p w:rsidR="00170A1A" w:rsidRPr="00AE6F26" w:rsidRDefault="00170A1A" w:rsidP="00AE6F26">
      <w:pPr>
        <w:pStyle w:val="HStandard"/>
      </w:pPr>
      <w:r>
        <w:t>SWOT</w:t>
      </w:r>
      <w:r>
        <w:tab/>
      </w:r>
      <w:r>
        <w:tab/>
        <w:t>Strengths, Weaknesses, Opportunities, Threats</w:t>
      </w:r>
    </w:p>
    <w:p w:rsidR="00170A1A" w:rsidRPr="00AE6F26" w:rsidRDefault="00170A1A" w:rsidP="00AE6F26">
      <w:pPr>
        <w:pStyle w:val="HStandard"/>
      </w:pPr>
      <w:r>
        <w:t>TA</w:t>
      </w:r>
      <w:r>
        <w:tab/>
      </w:r>
      <w:r>
        <w:tab/>
      </w:r>
      <w:r>
        <w:tab/>
        <w:t>Technical Assistance</w:t>
      </w:r>
    </w:p>
    <w:p w:rsidR="00170A1A" w:rsidRPr="00AE6F26" w:rsidRDefault="00170A1A" w:rsidP="00AE6F26">
      <w:pPr>
        <w:pStyle w:val="HStandard"/>
      </w:pPr>
      <w:r>
        <w:t>ToR</w:t>
      </w:r>
      <w:r>
        <w:tab/>
      </w:r>
      <w:r>
        <w:tab/>
        <w:t>Terms of Reference</w:t>
      </w:r>
    </w:p>
    <w:p w:rsidR="00170A1A" w:rsidRPr="00AE6F26" w:rsidRDefault="00170A1A" w:rsidP="00AE6F26">
      <w:pPr>
        <w:pStyle w:val="HStandard"/>
      </w:pPr>
      <w:r>
        <w:t>WD</w:t>
      </w:r>
      <w:r>
        <w:tab/>
      </w:r>
      <w:r>
        <w:tab/>
      </w:r>
      <w:r>
        <w:tab/>
        <w:t>Working Document</w:t>
      </w:r>
    </w:p>
    <w:p w:rsidR="00170A1A" w:rsidRPr="00183F61" w:rsidRDefault="00170A1A" w:rsidP="005A6A10">
      <w:pPr>
        <w:pStyle w:val="HStandard"/>
        <w:tabs>
          <w:tab w:val="right" w:leader="dot" w:pos="8742"/>
        </w:tabs>
        <w:rPr>
          <w:b/>
          <w:color w:val="E7E6E6" w:themeColor="background2"/>
        </w:rPr>
      </w:pPr>
    </w:p>
    <w:p w:rsidR="00170A1A" w:rsidRPr="00BB2924" w:rsidRDefault="00170A1A" w:rsidP="00CB62A4">
      <w:pPr>
        <w:pStyle w:val="HHeading1"/>
        <w:rPr>
          <w:rFonts w:cs="Arial"/>
          <w:highlight w:val="yellow"/>
        </w:rPr>
      </w:pPr>
      <w:bookmarkStart w:id="0" w:name="_Toc464410777"/>
      <w:r>
        <w:rPr>
          <w:caps w:val="0"/>
          <w:highlight w:val="yellow"/>
        </w:rPr>
        <w:lastRenderedPageBreak/>
        <w:t>BEVEZETÉS</w:t>
      </w:r>
      <w:bookmarkEnd w:id="0"/>
    </w:p>
    <w:p w:rsidR="00170A1A" w:rsidRPr="00BB2924" w:rsidRDefault="00170A1A" w:rsidP="00680DA9">
      <w:pPr>
        <w:pStyle w:val="HHeading2"/>
        <w:rPr>
          <w:highlight w:val="yellow"/>
        </w:rPr>
      </w:pPr>
      <w:bookmarkStart w:id="1" w:name="_Toc464410778"/>
      <w:r>
        <w:rPr>
          <w:highlight w:val="yellow"/>
        </w:rPr>
        <w:t>A nemzeti vidékfejlesztési hálózatok értékelésére vonatkozó iránymutatás</w:t>
      </w:r>
      <w:bookmarkEnd w:id="1"/>
    </w:p>
    <w:p w:rsidR="00170A1A" w:rsidRPr="00BB2924" w:rsidRDefault="00170A1A" w:rsidP="00923616">
      <w:pPr>
        <w:pStyle w:val="HStandard"/>
        <w:rPr>
          <w:highlight w:val="yellow"/>
        </w:rPr>
      </w:pPr>
      <w:bookmarkStart w:id="2" w:name="_Toc358900244"/>
      <w:r>
        <w:rPr>
          <w:highlight w:val="yellow"/>
        </w:rPr>
        <w:t xml:space="preserve">A </w:t>
      </w:r>
      <w:r>
        <w:rPr>
          <w:b/>
          <w:highlight w:val="yellow"/>
        </w:rPr>
        <w:t>nemzeti vidékfejlesztési hálózatok</w:t>
      </w:r>
      <w:r>
        <w:rPr>
          <w:highlight w:val="yellow"/>
        </w:rPr>
        <w:t xml:space="preserve"> (NVH-k) a vidékfejlesztésben szerepet vállaló közigazgatási szervek és szervezetek. Az NVH-k a 2007–2013-as időszakra szóló uniós vidékfejlesztési politikában jelentek meg először, és a 2014–2020-as programozási időszakban is szerepelnek. </w:t>
      </w:r>
    </w:p>
    <w:p w:rsidR="00170A1A" w:rsidRPr="00BB2924" w:rsidRDefault="00170A1A" w:rsidP="00923616">
      <w:pPr>
        <w:pStyle w:val="HStandard"/>
        <w:rPr>
          <w:highlight w:val="yellow"/>
        </w:rPr>
      </w:pPr>
      <w:r>
        <w:rPr>
          <w:highlight w:val="yellow"/>
        </w:rPr>
        <w:t>Az NVH-k működhetnek a technikai segítségnyújtás által finanszírozott adott vidékfejlesztési programon (VFP-n) belüli konkrét beavatkozásként, de létrehozhatók független költségvetésű, önálló programként is</w:t>
      </w:r>
      <w:r>
        <w:rPr>
          <w:rFonts w:ascii="ZWAdobeF" w:hAnsi="ZWAdobeF"/>
          <w:color w:val="auto"/>
          <w:sz w:val="2"/>
          <w:szCs w:val="2"/>
          <w:highlight w:val="yellow"/>
        </w:rPr>
        <w:t>0F</w:t>
      </w:r>
      <w:r w:rsidRPr="00BB2924">
        <w:rPr>
          <w:rStyle w:val="FootnoteReference"/>
          <w:highlight w:val="yellow"/>
        </w:rPr>
        <w:footnoteReference w:id="1"/>
      </w:r>
      <w:r>
        <w:rPr>
          <w:highlight w:val="yellow"/>
        </w:rPr>
        <w:t xml:space="preserve"> (nemzeti vidékfejlesztési hálózatokra vonatkozó programok – NVHP)</w:t>
      </w:r>
      <w:r>
        <w:rPr>
          <w:rFonts w:ascii="ZWAdobeF" w:hAnsi="ZWAdobeF"/>
          <w:color w:val="auto"/>
          <w:sz w:val="2"/>
          <w:szCs w:val="2"/>
          <w:highlight w:val="yellow"/>
        </w:rPr>
        <w:t>1F</w:t>
      </w:r>
      <w:r w:rsidRPr="00BB2924">
        <w:rPr>
          <w:rStyle w:val="FootnoteReference"/>
          <w:highlight w:val="yellow"/>
        </w:rPr>
        <w:footnoteReference w:id="2"/>
      </w:r>
      <w:r>
        <w:rPr>
          <w:highlight w:val="yellow"/>
        </w:rPr>
        <w:t xml:space="preserve">. A 2014–2020-as programozási időszakban, az NVH-k legnagyobb részét VFP részeként hozzák létre. Ez alól kivételt képez Németország, Olaszország és Franciaország, ahol az NVHP-k alapítását választották. </w:t>
      </w:r>
    </w:p>
    <w:p w:rsidR="00170A1A" w:rsidRPr="00BB2924" w:rsidRDefault="00170A1A" w:rsidP="00923616">
      <w:pPr>
        <w:pStyle w:val="HStandard"/>
        <w:rPr>
          <w:highlight w:val="yellow"/>
        </w:rPr>
      </w:pPr>
      <w:r>
        <w:rPr>
          <w:b/>
          <w:highlight w:val="yellow"/>
        </w:rPr>
        <w:t>Az NVH-k monitoringja és értékelése</w:t>
      </w:r>
      <w:r>
        <w:rPr>
          <w:highlight w:val="yellow"/>
        </w:rPr>
        <w:t xml:space="preserve"> hasonlóan történik, mint az előző programozási időszakban. Az NVH-k teljesítményét, eredményeit és hatásait értékelni kell az NVH-k műveletei minőségének, eredményességének és hatékonyságának javítása érdekében</w:t>
      </w:r>
      <w:r>
        <w:rPr>
          <w:rFonts w:ascii="ZWAdobeF" w:hAnsi="ZWAdobeF"/>
          <w:color w:val="auto"/>
          <w:sz w:val="2"/>
          <w:szCs w:val="2"/>
          <w:highlight w:val="yellow"/>
        </w:rPr>
        <w:t>2F</w:t>
      </w:r>
      <w:r w:rsidRPr="00BB2924">
        <w:rPr>
          <w:rStyle w:val="FootnoteReference"/>
          <w:highlight w:val="yellow"/>
        </w:rPr>
        <w:footnoteReference w:id="3"/>
      </w:r>
      <w:r>
        <w:rPr>
          <w:highlight w:val="yellow"/>
        </w:rPr>
        <w:t>. Az NVH-k értékelése során emellett vizsgálni kell az NVH-k által a humán- és társadalmi tőke területeire, például a vidékfejlesztési hálózatépítés kibővítésére és a vidéki térségek irányításának javulására gyakorolt hatást.</w:t>
      </w:r>
    </w:p>
    <w:p w:rsidR="00170A1A" w:rsidRPr="00BB2924" w:rsidRDefault="00170A1A" w:rsidP="00923616">
      <w:pPr>
        <w:pStyle w:val="HStandard"/>
        <w:rPr>
          <w:highlight w:val="yellow"/>
        </w:rPr>
      </w:pPr>
      <w:r>
        <w:rPr>
          <w:highlight w:val="yellow"/>
        </w:rPr>
        <w:t xml:space="preserve">A 2014–2020-as időszak kötelező eleme a VFP </w:t>
      </w:r>
      <w:r>
        <w:rPr>
          <w:b/>
          <w:highlight w:val="yellow"/>
        </w:rPr>
        <w:t>értékelési terve</w:t>
      </w:r>
      <w:r>
        <w:rPr>
          <w:rFonts w:ascii="ZWAdobeF" w:hAnsi="ZWAdobeF"/>
          <w:color w:val="auto"/>
          <w:sz w:val="2"/>
          <w:szCs w:val="2"/>
          <w:highlight w:val="yellow"/>
        </w:rPr>
        <w:t>3F</w:t>
      </w:r>
      <w:r w:rsidRPr="00BB2924">
        <w:rPr>
          <w:rStyle w:val="FootnoteReference"/>
          <w:highlight w:val="yellow"/>
        </w:rPr>
        <w:footnoteReference w:id="4"/>
      </w:r>
      <w:r>
        <w:rPr>
          <w:highlight w:val="yellow"/>
        </w:rPr>
        <w:t xml:space="preserve">, amely meghatározza az NVH tervezett értékelési tevékenységeit. Az NVHP-kre külön értékelési tervek vonatkoznak. </w:t>
      </w:r>
    </w:p>
    <w:p w:rsidR="00170A1A" w:rsidRPr="00BB2924" w:rsidRDefault="00170A1A" w:rsidP="006D3475">
      <w:pPr>
        <w:pStyle w:val="HHeading5"/>
        <w:rPr>
          <w:highlight w:val="yellow"/>
        </w:rPr>
      </w:pPr>
      <w:r>
        <w:rPr>
          <w:highlight w:val="yellow"/>
        </w:rPr>
        <w:t xml:space="preserve">Miért van szükség iránymutatásokra az NVH-k értékeléséhez? </w:t>
      </w:r>
    </w:p>
    <w:p w:rsidR="00170A1A" w:rsidRPr="00BB2924" w:rsidRDefault="00170A1A" w:rsidP="00923616">
      <w:pPr>
        <w:pStyle w:val="HStandard"/>
        <w:rPr>
          <w:highlight w:val="yellow"/>
        </w:rPr>
      </w:pPr>
      <w:r>
        <w:rPr>
          <w:b/>
          <w:highlight w:val="yellow"/>
        </w:rPr>
        <w:t>Az NVH-k előző programozási időszakban végrehajtott értékelése során megfigyelhető volt,</w:t>
      </w:r>
      <w:r>
        <w:rPr>
          <w:highlight w:val="yellow"/>
        </w:rPr>
        <w:t xml:space="preserve"> hogy a félidős értékelést végzők közül sokan még mindig a kimenetekre helyezték a hangsúlyt az NVH-k teljesítményének értékelésekor, és így a monitoring szintjén maradtak. Csak néhány előremutató értékelés vizsgálta az NVH-k hozzájárulását a vidékfejlesztési programok célkitűzéseinek eléréséhez (hatékonyság), illetve bizonyos mértékig az NVH tevékenységeinek hozzáadott értékét. Ez az értékelési munka ugyanakkor sok kihívást tartogatott, főként az elégtelen útmutatás és a részt vevő érdekeltek kapacitásai miatt.</w:t>
      </w:r>
    </w:p>
    <w:p w:rsidR="00170A1A" w:rsidRPr="00BB2924" w:rsidRDefault="00170A1A" w:rsidP="00923616">
      <w:pPr>
        <w:pStyle w:val="HStandard"/>
        <w:rPr>
          <w:highlight w:val="yellow"/>
        </w:rPr>
      </w:pPr>
      <w:r>
        <w:rPr>
          <w:b/>
          <w:highlight w:val="yellow"/>
        </w:rPr>
        <w:t>Az NVH-k értékeléseinek elemzése rávilágított arra, hogy támogatásra van szükség,</w:t>
      </w:r>
      <w:r>
        <w:rPr>
          <w:highlight w:val="yellow"/>
        </w:rPr>
        <w:t xml:space="preserve"> különösen a beavatkozás következetes logikájának kialakítása, a megfelelő programspecifikus mutatók meghatározása (főként az eredmény és hatás szintjén), a vidékfejlesztési hálózatok eredményeire/hatásaira vonatkozó fogalmi kérdések, a szélesebb körű hálózatépítés hatásai és a hozzáadott érték tekintetében. </w:t>
      </w:r>
    </w:p>
    <w:p w:rsidR="00170A1A" w:rsidRPr="00BB2924" w:rsidRDefault="00170A1A" w:rsidP="00923616">
      <w:pPr>
        <w:pStyle w:val="HStandard"/>
        <w:rPr>
          <w:highlight w:val="yellow"/>
        </w:rPr>
      </w:pPr>
      <w:r>
        <w:rPr>
          <w:b/>
          <w:highlight w:val="yellow"/>
        </w:rPr>
        <w:t>Az NVH-k értékelésének kihívásaival</w:t>
      </w:r>
      <w:r>
        <w:rPr>
          <w:highlight w:val="yellow"/>
        </w:rPr>
        <w:t xml:space="preserve"> a 2007–2013-as időszak VFP-inek utólagos értékeléséhez kiadott iránymutatás foglalkozott. Az iránymutatást és az összegyűjtött tapasztalatokat fel lehet használni az NVH utólagos, 2016 végén esedékes értékelésére (a VFP-értékelés részeként vagy önmagában). Az NVH utólagos értékelésének eredményei kiindulópontként szolgálhatnak az NVH 2017-es értékeléséhez. </w:t>
      </w:r>
    </w:p>
    <w:p w:rsidR="00170A1A" w:rsidRPr="00BB2924" w:rsidRDefault="00170A1A" w:rsidP="00923616">
      <w:pPr>
        <w:pStyle w:val="HStandard"/>
        <w:rPr>
          <w:highlight w:val="yellow"/>
        </w:rPr>
      </w:pPr>
      <w:r>
        <w:rPr>
          <w:b/>
          <w:highlight w:val="yellow"/>
        </w:rPr>
        <w:t>Az új jogi keret és a 2014–2020-as közös monitoring- és értékelési rendszer (CMES) több közös elemet biztosít</w:t>
      </w:r>
      <w:r>
        <w:rPr>
          <w:highlight w:val="yellow"/>
        </w:rPr>
        <w:t xml:space="preserve"> az NVH-k beavatkozási logikájának, valamint az NVH-k monitoring- és értékelési rendszerének kialakításához. </w:t>
      </w:r>
      <w:r>
        <w:rPr>
          <w:b/>
          <w:highlight w:val="yellow"/>
        </w:rPr>
        <w:t xml:space="preserve">Ezek az elemek magukban foglalják az NVH-k közös célkitűzéseit, </w:t>
      </w:r>
      <w:r>
        <w:rPr>
          <w:b/>
          <w:highlight w:val="yellow"/>
        </w:rPr>
        <w:lastRenderedPageBreak/>
        <w:t>az intézkedések közös csoportjait, a közös értékelési kérdéseket</w:t>
      </w:r>
      <w:r>
        <w:rPr>
          <w:rFonts w:ascii="ZWAdobeF" w:hAnsi="ZWAdobeF"/>
          <w:b/>
          <w:color w:val="auto"/>
          <w:sz w:val="2"/>
          <w:szCs w:val="2"/>
          <w:highlight w:val="yellow"/>
        </w:rPr>
        <w:t>4F</w:t>
      </w:r>
      <w:r w:rsidRPr="00BB2924">
        <w:rPr>
          <w:rStyle w:val="FootnoteReference"/>
          <w:b/>
          <w:highlight w:val="yellow"/>
        </w:rPr>
        <w:footnoteReference w:id="5"/>
      </w:r>
      <w:r>
        <w:rPr>
          <w:b/>
          <w:highlight w:val="yellow"/>
        </w:rPr>
        <w:t>, valamint három közös kimeneti mutatót</w:t>
      </w:r>
      <w:r>
        <w:rPr>
          <w:rFonts w:ascii="ZWAdobeF" w:hAnsi="ZWAdobeF"/>
          <w:b/>
          <w:color w:val="auto"/>
          <w:sz w:val="2"/>
          <w:szCs w:val="2"/>
          <w:highlight w:val="yellow"/>
        </w:rPr>
        <w:t>5F</w:t>
      </w:r>
      <w:r w:rsidRPr="00BB2924">
        <w:rPr>
          <w:rStyle w:val="FootnoteReference"/>
          <w:highlight w:val="yellow"/>
        </w:rPr>
        <w:footnoteReference w:id="6"/>
      </w:r>
      <w:r>
        <w:rPr>
          <w:highlight w:val="yellow"/>
        </w:rPr>
        <w:t xml:space="preserve">. </w:t>
      </w:r>
    </w:p>
    <w:p w:rsidR="00170A1A" w:rsidRPr="00BB2924" w:rsidRDefault="00170A1A" w:rsidP="00923616">
      <w:pPr>
        <w:pStyle w:val="HStandard"/>
        <w:rPr>
          <w:highlight w:val="yellow"/>
        </w:rPr>
      </w:pPr>
      <w:r>
        <w:rPr>
          <w:b/>
          <w:highlight w:val="yellow"/>
        </w:rPr>
        <w:t>A tagállamoknak tovább kell fejleszteniük a CMES-ben meghatározott közös értékelési elemeket annak érdekében, hogy megfelelően tudják értékelni az NVH-kat.</w:t>
      </w:r>
      <w:r>
        <w:rPr>
          <w:highlight w:val="yellow"/>
        </w:rPr>
        <w:t xml:space="preserve"> A közös elemek adják ugyan az NVH-k értékelésének alapját, de ki kell azokat egészíteni programspecifikus célkitűzésekkel és intézkedéscsoportokkal. A tagállamoknak emellett az NVH eredményeinek méréséhez meg kell határozniuk az NVH-hoz kapcsolódó kimeneti mutatókat, a programspecifikus értékelési kérdéseket, valamint ki kell dolgozniuk a megfelelő eredmény- és hatásmutatókat. Ez a megközelítés még fontosabb abban az esetben, ha a nemzeti hálózattámogató egységek (HTE) az NVH-k önálló értékelése mellett döntenek.</w:t>
      </w:r>
    </w:p>
    <w:p w:rsidR="00170A1A" w:rsidRPr="00BB2924" w:rsidRDefault="00170A1A" w:rsidP="003E7D43">
      <w:pPr>
        <w:pStyle w:val="HHeading5"/>
        <w:rPr>
          <w:highlight w:val="yellow"/>
        </w:rPr>
      </w:pPr>
      <w:r>
        <w:rPr>
          <w:highlight w:val="yellow"/>
        </w:rPr>
        <w:t>Kik dolgozták ki az iránymutatást, és hogyan?</w:t>
      </w:r>
    </w:p>
    <w:p w:rsidR="00170A1A" w:rsidRPr="00BB2924" w:rsidRDefault="00170A1A" w:rsidP="00923616">
      <w:pPr>
        <w:pStyle w:val="HStandard"/>
        <w:rPr>
          <w:highlight w:val="yellow"/>
        </w:rPr>
      </w:pPr>
      <w:r>
        <w:rPr>
          <w:b/>
          <w:highlight w:val="yellow"/>
        </w:rPr>
        <w:t>Az európai vidékfejlesztési értékelési támogató szolgálat (European Evaluation Helpdesk for Rural Development) tematikus munkacsoportot hozott létre,</w:t>
      </w:r>
      <w:r>
        <w:rPr>
          <w:highlight w:val="yellow"/>
        </w:rPr>
        <w:t xml:space="preserve"> amely konkrét segítséget nyújt az NVH-k értékelésében részt vevő érdekeltek számára az NVH-k értékelésének előkészítéséhez és lebonyolításához szükséges feladatok elvégzésében. Az alábbi iránymutatás e tematikus munkacsoport tevékenységének eredményeként jött létre. Az iránymutatás kiegészíti a 2014–2020-as programozási időszakra vonatkozó meglévő értékelési iránymutatásokat</w:t>
      </w:r>
      <w:r>
        <w:rPr>
          <w:rFonts w:ascii="ZWAdobeF" w:hAnsi="ZWAdobeF"/>
          <w:color w:val="auto"/>
          <w:sz w:val="2"/>
          <w:szCs w:val="2"/>
          <w:highlight w:val="yellow"/>
        </w:rPr>
        <w:t>6F</w:t>
      </w:r>
      <w:r w:rsidRPr="00BB2924">
        <w:rPr>
          <w:rStyle w:val="FootnoteReference"/>
          <w:highlight w:val="yellow"/>
        </w:rPr>
        <w:footnoteReference w:id="7"/>
      </w:r>
      <w:r>
        <w:rPr>
          <w:highlight w:val="yellow"/>
        </w:rPr>
        <w:t xml:space="preserve">, és azokkal teljes mértékben összhangban van. </w:t>
      </w:r>
    </w:p>
    <w:p w:rsidR="00170A1A" w:rsidRPr="00BB2924" w:rsidRDefault="00170A1A" w:rsidP="003E7D43">
      <w:pPr>
        <w:pStyle w:val="HStandard"/>
        <w:rPr>
          <w:highlight w:val="yellow"/>
        </w:rPr>
      </w:pPr>
      <w:r>
        <w:rPr>
          <w:b/>
          <w:highlight w:val="yellow"/>
        </w:rPr>
        <w:t xml:space="preserve">A nemzeti vidékfejlesztési hálózatok értékelésére vonatkozó iránymutatás (2014–2020) kidolgozását </w:t>
      </w:r>
      <w:r>
        <w:rPr>
          <w:highlight w:val="yellow"/>
        </w:rPr>
        <w:t>az európai vidékfejlesztési értékelési támogató szolgálat értékelési szakembereiből álló csoport (Sari Rannanpää, Marili Parissaki, Robert Lukesch, Magda Porta, Jela Tvrdonova és Hannes Wimmer) végezte. A Mezőgazdasági és Vidékfejlesztési Főigazgatóság képviselői gondoskodtak az iránymutatás és az uniós szakpolitikai keret közötti összhangról. A tagállamok képviselői a KAP monitoringját és értékelését végző szakértői csoport 7. és 8. ülése során, valamint a véleményező testület</w:t>
      </w:r>
      <w:r>
        <w:rPr>
          <w:rFonts w:ascii="ZWAdobeF" w:hAnsi="ZWAdobeF"/>
          <w:color w:val="auto"/>
          <w:sz w:val="2"/>
          <w:szCs w:val="2"/>
          <w:highlight w:val="yellow"/>
        </w:rPr>
        <w:t>7F</w:t>
      </w:r>
      <w:r w:rsidRPr="00BB2924">
        <w:rPr>
          <w:rStyle w:val="FootnoteReference"/>
          <w:highlight w:val="yellow"/>
        </w:rPr>
        <w:footnoteReference w:id="8"/>
      </w:r>
      <w:r>
        <w:rPr>
          <w:highlight w:val="yellow"/>
        </w:rPr>
        <w:t xml:space="preserve"> ülésén tették meg az iránymutatás vázlatával és tervezeteivel kapcsolatos észrevételeiket. Ezenfelül írásban beérkezett észrevételek beépítése is megtörtént. A nemzeti vidékfejlesztési hálózatoknak és az Európai Vidékfejlesztési Hálózat (EVH) kapcsolattartó pontjának tagjai a nemzeti vidékfejlesztési hálózatokkal zajlott számos találkozón ismerték meg a fő kérdéseket, és a tartalom finomhangolásához fontos észrevételeket tettek. </w:t>
      </w:r>
    </w:p>
    <w:p w:rsidR="00170A1A" w:rsidRPr="00BB2924" w:rsidRDefault="00170A1A" w:rsidP="00923616">
      <w:pPr>
        <w:pStyle w:val="HStandard"/>
        <w:rPr>
          <w:highlight w:val="yellow"/>
        </w:rPr>
      </w:pPr>
      <w:r>
        <w:rPr>
          <w:highlight w:val="yellow"/>
        </w:rPr>
        <w:t>Jelen iránymutatás célja, hogy a programozási időszak során segítse a tagállamok érdekelt feleit az NVH beavatkozási logikájának kidolgozásában, az NVH-beavatkozások hatékonyságának és eredményességének értékelésében, valamint az NVH-k hozzáadott értékének meghatározásában.</w:t>
      </w:r>
    </w:p>
    <w:p w:rsidR="00170A1A" w:rsidRPr="00BB2924" w:rsidRDefault="00170A1A" w:rsidP="006D3475">
      <w:pPr>
        <w:pStyle w:val="HHeading5"/>
        <w:rPr>
          <w:highlight w:val="yellow"/>
        </w:rPr>
      </w:pPr>
      <w:r>
        <w:rPr>
          <w:highlight w:val="yellow"/>
        </w:rPr>
        <w:t>Kik alkotják az iránymutatás célcsoportját?</w:t>
      </w:r>
    </w:p>
    <w:p w:rsidR="00170A1A" w:rsidRPr="00BB2924" w:rsidRDefault="00170A1A" w:rsidP="00923616">
      <w:pPr>
        <w:pStyle w:val="HStandard"/>
        <w:rPr>
          <w:highlight w:val="yellow"/>
        </w:rPr>
      </w:pPr>
      <w:bookmarkStart w:id="3" w:name="_Toc358900248"/>
      <w:bookmarkEnd w:id="2"/>
      <w:r>
        <w:rPr>
          <w:highlight w:val="yellow"/>
        </w:rPr>
        <w:t>Az NVH-k értékeléséhez készített iránymutatás a vidékfejlesztés terén érdekelt felek különböző csoportjainak készült:</w:t>
      </w:r>
    </w:p>
    <w:p w:rsidR="00170A1A" w:rsidRPr="00BB2924" w:rsidRDefault="00170A1A" w:rsidP="008A261C">
      <w:pPr>
        <w:pStyle w:val="Hlistbullet"/>
        <w:rPr>
          <w:highlight w:val="yellow"/>
        </w:rPr>
      </w:pPr>
      <w:r>
        <w:rPr>
          <w:b/>
          <w:highlight w:val="yellow"/>
        </w:rPr>
        <w:t>Az irányító hatóságok képviselői</w:t>
      </w:r>
      <w:r>
        <w:rPr>
          <w:highlight w:val="yellow"/>
        </w:rPr>
        <w:t xml:space="preserve"> információt találhatnak az NVH-k értékelésének céljáról és alkalmazási köréről, beleértve a tagállamok/régiók által teljesítendő jogi követelmények hivatkozásainak felsorolását. Útmutatót és gyakorlati eszközöket is találnak, amelyek segítik </w:t>
      </w:r>
      <w:r>
        <w:rPr>
          <w:highlight w:val="yellow"/>
        </w:rPr>
        <w:lastRenderedPageBreak/>
        <w:t>őket az NVH-k értékelésének kezelése, koordinálása és irányítása során, illetve az értékelés eredményének terjesztésében.</w:t>
      </w:r>
    </w:p>
    <w:p w:rsidR="00170A1A" w:rsidRPr="00BB2924" w:rsidRDefault="00170A1A" w:rsidP="008A261C">
      <w:pPr>
        <w:pStyle w:val="Hlistbullet"/>
        <w:rPr>
          <w:highlight w:val="yellow"/>
        </w:rPr>
      </w:pPr>
      <w:r>
        <w:rPr>
          <w:b/>
          <w:highlight w:val="yellow"/>
        </w:rPr>
        <w:t>Az értékelők</w:t>
      </w:r>
      <w:r>
        <w:rPr>
          <w:highlight w:val="yellow"/>
        </w:rPr>
        <w:t xml:space="preserve"> megtalálják a jogi szövegek részletesebb magyarázatát és a követelmények indoklását, amely segíti őket a feladat egységes értelmezésében. Az iránymutatás emellett ismerteti az értékelési kérdések és mutatók szerepét és kialakítását, valamint értékelési megközelítéseket és módszereket javasol a hálózatok hatásaira vonatkozó értékelés lebonyolításához használt bizonyítékok összegyűjtéséhez. </w:t>
      </w:r>
    </w:p>
    <w:p w:rsidR="00170A1A" w:rsidRPr="00BB2924" w:rsidRDefault="00170A1A" w:rsidP="008A261C">
      <w:pPr>
        <w:pStyle w:val="Hlistbullet"/>
        <w:rPr>
          <w:highlight w:val="yellow"/>
        </w:rPr>
      </w:pPr>
      <w:r>
        <w:rPr>
          <w:b/>
          <w:highlight w:val="yellow"/>
        </w:rPr>
        <w:t>Az NVH működtetésében részt vevők</w:t>
      </w:r>
      <w:r>
        <w:rPr>
          <w:highlight w:val="yellow"/>
        </w:rPr>
        <w:t>, például a HTE, a kifizető ügynökség, a végrehajtó szervek, a monitoringbizottság, a koordináló szervek és a hálózati tagok (helyi akciócsoportok, regionális irányító hatóságok az NVHP-k esetén és a kedvezményezettek) információforrásként használhatják az iránymutatást, amikor adatok/információk gyűjtésével hozzájárulnak az értékeléshez.</w:t>
      </w:r>
    </w:p>
    <w:p w:rsidR="00170A1A" w:rsidRPr="00BB2924" w:rsidRDefault="00170A1A" w:rsidP="008A261C">
      <w:pPr>
        <w:pStyle w:val="Hlistbullet"/>
        <w:rPr>
          <w:highlight w:val="yellow"/>
        </w:rPr>
      </w:pPr>
      <w:r>
        <w:rPr>
          <w:b/>
          <w:highlight w:val="yellow"/>
        </w:rPr>
        <w:t>A Mezőgazdasági és Vidékfejlesztési Főigazgatóság VFP-vel és NVHP-vel foglalkozó tisztviselői</w:t>
      </w:r>
      <w:r>
        <w:rPr>
          <w:highlight w:val="yellow"/>
        </w:rPr>
        <w:t xml:space="preserve"> hasznosnak találhatják a hálózatértékelés céljainak és feladatainak egységes értelmezését összefoglaló referenciát.</w:t>
      </w:r>
    </w:p>
    <w:p w:rsidR="00170A1A" w:rsidRPr="00BB2924" w:rsidRDefault="00170A1A" w:rsidP="008A261C">
      <w:pPr>
        <w:pStyle w:val="Hlistbullet2"/>
        <w:rPr>
          <w:highlight w:val="yellow"/>
        </w:rPr>
      </w:pPr>
      <w:r>
        <w:rPr>
          <w:highlight w:val="yellow"/>
        </w:rPr>
        <w:t xml:space="preserve">Az unió vidékfejlesztési hálózatainak értékelésében érdekelt </w:t>
      </w:r>
      <w:r>
        <w:rPr>
          <w:b/>
          <w:highlight w:val="yellow"/>
        </w:rPr>
        <w:t>egyéb érdekeltek.</w:t>
      </w:r>
      <w:r>
        <w:rPr>
          <w:highlight w:val="yellow"/>
        </w:rPr>
        <w:t xml:space="preserve"> </w:t>
      </w:r>
    </w:p>
    <w:p w:rsidR="00170A1A" w:rsidRPr="00BB2924" w:rsidRDefault="00170A1A" w:rsidP="006D3475">
      <w:pPr>
        <w:pStyle w:val="HHeading5"/>
        <w:rPr>
          <w:highlight w:val="yellow"/>
        </w:rPr>
      </w:pPr>
      <w:r>
        <w:rPr>
          <w:highlight w:val="yellow"/>
        </w:rPr>
        <w:t>Hogyan épül fel az NVH-k értékelésére vonatkozó iránymutatás?</w:t>
      </w:r>
    </w:p>
    <w:bookmarkEnd w:id="3"/>
    <w:p w:rsidR="00170A1A" w:rsidRPr="00BB2924" w:rsidRDefault="00170A1A" w:rsidP="00923616">
      <w:pPr>
        <w:pStyle w:val="HStandard"/>
        <w:rPr>
          <w:highlight w:val="yellow"/>
        </w:rPr>
      </w:pPr>
      <w:r>
        <w:rPr>
          <w:highlight w:val="yellow"/>
        </w:rPr>
        <w:t xml:space="preserve">Az NVH-k értékelésére vonatkozó iránymutatás három részből áll, amelyek a szövegben található kereszthivatkozásokkal kapcsolódnak egymáshoz. </w:t>
      </w:r>
    </w:p>
    <w:p w:rsidR="00170A1A" w:rsidRPr="00BB2924" w:rsidRDefault="00170A1A" w:rsidP="003722C4">
      <w:pPr>
        <w:pStyle w:val="HStandard"/>
        <w:rPr>
          <w:highlight w:val="yellow"/>
        </w:rPr>
      </w:pPr>
      <w:r>
        <w:rPr>
          <w:b/>
          <w:color w:val="E7E6E6" w:themeColor="background2"/>
          <w:highlight w:val="yellow"/>
        </w:rPr>
        <w:t>Az I. rész</w:t>
      </w:r>
      <w:r>
        <w:rPr>
          <w:highlight w:val="yellow"/>
        </w:rPr>
        <w:t xml:space="preserve"> főként az irányító hatóságoknak és a HTE-nek mint az NVH-értékelés megbízójának szól, de az NVH-értékelés tervezésében és előkészítésében érdekelt más felek is hasznosíthatják. Elmagyarázza az NVH-k értékelésében már jelenleg is vagy a jövőben esetleg részt vevő minden érdekelt szerepét és kötelezettségeit. Ismerteti továbbá az NVH-k értékelésének főbb lépéseit, például az értékelés tervezését, előkészítését és lebonyolítását, valamint az eredmények terjesztését, ismertetését és nyomon követését.</w:t>
      </w:r>
    </w:p>
    <w:p w:rsidR="00170A1A" w:rsidRPr="00BB2924" w:rsidRDefault="00170A1A" w:rsidP="00923616">
      <w:pPr>
        <w:pStyle w:val="HStandard"/>
        <w:rPr>
          <w:highlight w:val="yellow"/>
        </w:rPr>
      </w:pPr>
      <w:r>
        <w:rPr>
          <w:b/>
          <w:color w:val="E7E6E6" w:themeColor="background2"/>
          <w:highlight w:val="yellow"/>
        </w:rPr>
        <w:t>A II. rész</w:t>
      </w:r>
      <w:r>
        <w:rPr>
          <w:color w:val="E7E6E6" w:themeColor="background2"/>
          <w:highlight w:val="yellow"/>
        </w:rPr>
        <w:t xml:space="preserve"> </w:t>
      </w:r>
      <w:r>
        <w:rPr>
          <w:highlight w:val="yellow"/>
        </w:rPr>
        <w:t xml:space="preserve">az NVH-k értékelésének két lehetőségéhez biztosít iránymutatást: (1) az NVH értékelése a VFP keretében nyújtott technikai segítségnyújtás részeként; (2) „önálló” értékelés, amely magában foglalja az NVH-program (NVHP) értékelését, vagy az NVH önálló értékelését, még akkor is, ha az egy VFP része (önálló értékelési témaként). Tájékoztatást nyújt az NVH értékelésének felépítéséről, megfigyeléséről, elemzéséről és megítéléséről, valamint az értékelési folyamat konkrét lépéseiről. </w:t>
      </w:r>
    </w:p>
    <w:p w:rsidR="00170A1A" w:rsidRPr="00BB2924" w:rsidRDefault="00170A1A" w:rsidP="00923616">
      <w:pPr>
        <w:pStyle w:val="HStandard"/>
        <w:rPr>
          <w:highlight w:val="yellow"/>
        </w:rPr>
      </w:pPr>
      <w:r>
        <w:rPr>
          <w:b/>
          <w:color w:val="E7E6E6" w:themeColor="background2"/>
          <w:highlight w:val="yellow"/>
        </w:rPr>
        <w:t>A III. rész</w:t>
      </w:r>
      <w:r>
        <w:rPr>
          <w:color w:val="E7E6E6" w:themeColor="background2"/>
          <w:highlight w:val="yellow"/>
        </w:rPr>
        <w:t xml:space="preserve"> </w:t>
      </w:r>
      <w:r>
        <w:rPr>
          <w:highlight w:val="yellow"/>
        </w:rPr>
        <w:t xml:space="preserve">(eszköztár) tartalmazza az NVH-k értékeléséhez a programozási időszakban használt feladatmeghatározásra vonatkozó indikatív sablont, valamint példákat a kimenet-eredmény-hatás láncokra. </w:t>
      </w:r>
    </w:p>
    <w:p w:rsidR="00170A1A" w:rsidRPr="00BB2924" w:rsidRDefault="00170A1A" w:rsidP="00680DA9">
      <w:pPr>
        <w:pStyle w:val="HHeading2"/>
        <w:rPr>
          <w:highlight w:val="yellow"/>
        </w:rPr>
      </w:pPr>
      <w:bookmarkStart w:id="4" w:name="_Toc464410779"/>
      <w:r>
        <w:rPr>
          <w:highlight w:val="yellow"/>
        </w:rPr>
        <w:t>Hálózatok és hálózatépítés az Európai Unió vidékfejlesztési politikájában</w:t>
      </w:r>
      <w:bookmarkEnd w:id="4"/>
      <w:r>
        <w:rPr>
          <w:highlight w:val="yellow"/>
        </w:rPr>
        <w:t xml:space="preserve"> </w:t>
      </w:r>
    </w:p>
    <w:p w:rsidR="00170A1A" w:rsidRPr="00BB2924" w:rsidRDefault="00170A1A" w:rsidP="00923616">
      <w:pPr>
        <w:pStyle w:val="HStandard"/>
        <w:rPr>
          <w:highlight w:val="yellow"/>
        </w:rPr>
      </w:pPr>
      <w:r>
        <w:rPr>
          <w:b/>
          <w:highlight w:val="yellow"/>
        </w:rPr>
        <w:t>Az Európai Unió felismerte a hálózatépítés fontosságát a vidéki térségekben.</w:t>
      </w:r>
      <w:r>
        <w:rPr>
          <w:highlight w:val="yellow"/>
        </w:rPr>
        <w:t xml:space="preserve"> A vidékfejlesztésben érdekeltek közötti hálózatokat és hálózatépítést 2007-ben vezették be az EU vidékfejlesztési politikájának megvalósítását támogató eszközként. A 2007–2013-as programozási időszakban a nemzeti vidékfejlesztési hálózatokkal és az Európai Vidékfejlesztési Hálózattal kapcsolatban szerzett pozitív tapasztalatoknak köszönhetően a 2014–2020-as időszakra több érdekelt bevonása és több tevékenység ösztönzése révén tagállami és uniós szinten is nőtt a hálózatépítés támogatottsága. A hálózatépítés emellett gyakorlatilag az összes uniós politikában az innováció elősegítésének alapvető eszköze lett.</w:t>
      </w:r>
    </w:p>
    <w:p w:rsidR="00170A1A" w:rsidRPr="00BB2924" w:rsidRDefault="00170A1A" w:rsidP="00923616">
      <w:pPr>
        <w:pStyle w:val="HStandard"/>
        <w:rPr>
          <w:highlight w:val="yellow"/>
        </w:rPr>
      </w:pPr>
      <w:r>
        <w:rPr>
          <w:b/>
          <w:highlight w:val="yellow"/>
        </w:rPr>
        <w:t>A hálózatok és a hálózatépítés mindig is hatékony eszközt nyújtott a tanulásra és a jóllét fejlesztésére a vidéki térségekben.</w:t>
      </w:r>
      <w:r>
        <w:rPr>
          <w:highlight w:val="yellow"/>
        </w:rPr>
        <w:t xml:space="preserve"> A hálózatok segítenek egy újfajta társadalmi tőke létrehozásában és gyarapításában, amely kiterjed a megosztás érzésére, a viselkedés megváltoztatására, a közös kapacitások, új ismeretek és képességek fejlesztésére, áruk és szolgáltatások előállítására és cseréjére, az innováció támogatására, valamint a hálózat tagjai közötti bizalom erősítésére. </w:t>
      </w:r>
    </w:p>
    <w:p w:rsidR="00170A1A" w:rsidRPr="00BB2924" w:rsidRDefault="00170A1A" w:rsidP="006D3475">
      <w:pPr>
        <w:pStyle w:val="HHeading5"/>
        <w:rPr>
          <w:highlight w:val="yellow"/>
        </w:rPr>
      </w:pPr>
      <w:r>
        <w:rPr>
          <w:highlight w:val="yellow"/>
        </w:rPr>
        <w:lastRenderedPageBreak/>
        <w:t>A hálózat fogalma</w:t>
      </w:r>
    </w:p>
    <w:p w:rsidR="00170A1A" w:rsidRPr="00BB2924" w:rsidRDefault="00170A1A" w:rsidP="00923616">
      <w:pPr>
        <w:pStyle w:val="HStandard"/>
        <w:rPr>
          <w:highlight w:val="yellow"/>
        </w:rPr>
      </w:pPr>
      <w:r>
        <w:rPr>
          <w:b/>
          <w:highlight w:val="yellow"/>
        </w:rPr>
        <w:t>Kulcsfontosságú meghatározni, hogy mit értünk hálózat alatt,</w:t>
      </w:r>
      <w:r>
        <w:rPr>
          <w:highlight w:val="yellow"/>
        </w:rPr>
        <w:t xml:space="preserve"> amikor a hálózatokat a vidékfejlesztési politika megvalósításának támogatására szolgáló eszközként használjuk, vagy amikor azt értékeljük, hogy a hálózat elérte-e célját és célkitűzéseit. A tudományos meghatározás szerint a hálózat résztvevőkből, például szervezetekből, csoportokból vagy magánszemélyekből (csomópontokból), valamint az ilyen résztvevők közötti kapcsolatokból és csatlakozásokból (kapcsolódásokból) álló kölcsönhatások hálója</w:t>
      </w:r>
      <w:r>
        <w:rPr>
          <w:rFonts w:ascii="ZWAdobeF" w:hAnsi="ZWAdobeF"/>
          <w:color w:val="auto"/>
          <w:sz w:val="2"/>
          <w:szCs w:val="2"/>
          <w:highlight w:val="yellow"/>
        </w:rPr>
        <w:t>8F</w:t>
      </w:r>
      <w:r w:rsidRPr="00BB2924">
        <w:rPr>
          <w:rStyle w:val="FootnoteReference"/>
          <w:highlight w:val="yellow"/>
        </w:rPr>
        <w:footnoteReference w:id="9"/>
      </w:r>
      <w:r>
        <w:rPr>
          <w:highlight w:val="yellow"/>
        </w:rPr>
        <w:t>.</w:t>
      </w:r>
    </w:p>
    <w:p w:rsidR="00170A1A" w:rsidRPr="00BB2924" w:rsidRDefault="00170A1A" w:rsidP="00923616">
      <w:pPr>
        <w:pStyle w:val="HStandard"/>
        <w:rPr>
          <w:highlight w:val="yellow"/>
        </w:rPr>
      </w:pPr>
      <w:r>
        <w:rPr>
          <w:highlight w:val="yellow"/>
        </w:rPr>
        <w:t>A hálózat lehet informális vagy formális</w:t>
      </w:r>
      <w:r>
        <w:rPr>
          <w:rFonts w:ascii="ZWAdobeF" w:hAnsi="ZWAdobeF"/>
          <w:color w:val="auto"/>
          <w:sz w:val="2"/>
          <w:szCs w:val="2"/>
          <w:highlight w:val="yellow"/>
        </w:rPr>
        <w:t>9F</w:t>
      </w:r>
      <w:r w:rsidRPr="00BB2924">
        <w:rPr>
          <w:rStyle w:val="FootnoteReference"/>
          <w:highlight w:val="yellow"/>
        </w:rPr>
        <w:footnoteReference w:id="10"/>
      </w:r>
      <w:r>
        <w:rPr>
          <w:highlight w:val="yellow"/>
        </w:rPr>
        <w:t xml:space="preserve">: </w:t>
      </w:r>
    </w:p>
    <w:p w:rsidR="00170A1A" w:rsidRPr="00BB2924" w:rsidRDefault="00170A1A" w:rsidP="005368DC">
      <w:pPr>
        <w:pStyle w:val="Hlistbullet2"/>
        <w:rPr>
          <w:color w:val="262626"/>
          <w:highlight w:val="yellow"/>
        </w:rPr>
      </w:pPr>
      <w:r>
        <w:rPr>
          <w:b/>
          <w:highlight w:val="yellow"/>
        </w:rPr>
        <w:t>Az informális hálózatok</w:t>
      </w:r>
      <w:r>
        <w:rPr>
          <w:highlight w:val="yellow"/>
        </w:rPr>
        <w:t xml:space="preserve"> többsége alulról felfelé szerveződik magánszemélyekből, közös érdek alapján. Általában természetes módon, előre meghatározott források vagy működési szabályok nélkül (de az esetleg érvényes társadalmi normák betartásával) fejlődnek, létezésük alapja pedig a hálózat tagjai által a közös cél elérése (például gazdák könnyebb piacra jutása) érdekében várt hozzáadott érték.</w:t>
      </w:r>
      <w:r>
        <w:rPr>
          <w:color w:val="262626"/>
          <w:highlight w:val="yellow"/>
        </w:rPr>
        <w:t xml:space="preserve"> </w:t>
      </w:r>
    </w:p>
    <w:p w:rsidR="00170A1A" w:rsidRPr="00BB2924" w:rsidRDefault="00170A1A" w:rsidP="00923616">
      <w:pPr>
        <w:pStyle w:val="Hlistbullet2"/>
        <w:rPr>
          <w:highlight w:val="yellow"/>
        </w:rPr>
      </w:pPr>
      <w:r>
        <w:rPr>
          <w:b/>
          <w:highlight w:val="yellow"/>
        </w:rPr>
        <w:t>A formális hálózatok</w:t>
      </w:r>
      <w:r>
        <w:rPr>
          <w:highlight w:val="yellow"/>
        </w:rPr>
        <w:t xml:space="preserve"> általában konkrétan meghatározott céllal, erőforrásokkal és működési szabályokkal jönnek létre. A formális hálózat lehet hatóság által meghatározott és/vagy előírt, felülről lefelé építkező szerkezet (például a politikai hálózatok esetében</w:t>
      </w:r>
      <w:r>
        <w:rPr>
          <w:rFonts w:ascii="ZWAdobeF" w:hAnsi="ZWAdobeF"/>
          <w:color w:val="auto"/>
          <w:sz w:val="2"/>
          <w:szCs w:val="2"/>
          <w:highlight w:val="yellow"/>
        </w:rPr>
        <w:t>10F</w:t>
      </w:r>
      <w:r w:rsidRPr="00BB2924">
        <w:rPr>
          <w:rStyle w:val="FootnoteReference"/>
          <w:highlight w:val="yellow"/>
        </w:rPr>
        <w:footnoteReference w:id="11"/>
      </w:r>
      <w:r>
        <w:rPr>
          <w:highlight w:val="yellow"/>
        </w:rPr>
        <w:t xml:space="preserve">), vagy alulról felfelé szerveződő apparátus, amelyet illetékes hatóság (például minisztérium, állami ügynökségek stb.) általi regisztráció és hivatalos elismerés tesz hivatalossá. </w:t>
      </w:r>
    </w:p>
    <w:p w:rsidR="00170A1A" w:rsidRPr="00BB2924" w:rsidRDefault="00170A1A" w:rsidP="00624AFC">
      <w:pPr>
        <w:pStyle w:val="HHeading5"/>
        <w:rPr>
          <w:highlight w:val="yellow"/>
        </w:rPr>
      </w:pPr>
      <w:r>
        <w:rPr>
          <w:highlight w:val="yellow"/>
        </w:rPr>
        <w:t>Vidékfejlesztési hálózatok az Európai Unióban</w:t>
      </w:r>
    </w:p>
    <w:p w:rsidR="00170A1A" w:rsidRPr="00BB2924" w:rsidRDefault="00170A1A" w:rsidP="00923616">
      <w:pPr>
        <w:pStyle w:val="HStandard"/>
        <w:rPr>
          <w:highlight w:val="yellow"/>
        </w:rPr>
      </w:pPr>
      <w:r>
        <w:rPr>
          <w:highlight w:val="yellow"/>
        </w:rPr>
        <w:t>Az Európai Unióban működő vidékfejlesztési hálózatok formális és informális hálózatok kombinációjából épülnek fel. A vidékfejlesztési hálózatok a vidéki környezetben működnek, és a hatóságok formálisan hozzák létre azokat. Az uniós vidékfejlesztési hálózatok az uniós politikai célkitűzésekkel összhangban hozzájárulnak a vidéki térségek fejlődéséhez.</w:t>
      </w:r>
    </w:p>
    <w:p w:rsidR="00170A1A" w:rsidRPr="00BB2924" w:rsidRDefault="00170A1A" w:rsidP="005368DC">
      <w:pPr>
        <w:pStyle w:val="Hlistbullet2"/>
        <w:rPr>
          <w:highlight w:val="yellow"/>
        </w:rPr>
      </w:pPr>
      <w:r>
        <w:rPr>
          <w:highlight w:val="yellow"/>
        </w:rPr>
        <w:t xml:space="preserve">Az </w:t>
      </w:r>
      <w:r>
        <w:rPr>
          <w:b/>
          <w:highlight w:val="yellow"/>
        </w:rPr>
        <w:t>Európai Vidékfejlesztési Hálózatot</w:t>
      </w:r>
      <w:r>
        <w:rPr>
          <w:highlight w:val="yellow"/>
        </w:rPr>
        <w:t xml:space="preserve"> (EVH) az uniós szintű vidékfejlesztés területén szerepet vállaló nemzeti hálózatok, szervezetek és közigazgatási szervek hálózatépítésére vonatkozó jogi keret</w:t>
      </w:r>
      <w:r>
        <w:rPr>
          <w:rFonts w:ascii="ZWAdobeF" w:hAnsi="ZWAdobeF"/>
          <w:color w:val="auto"/>
          <w:sz w:val="2"/>
          <w:szCs w:val="2"/>
          <w:highlight w:val="yellow"/>
        </w:rPr>
        <w:t>11F</w:t>
      </w:r>
      <w:r w:rsidRPr="00BB2924">
        <w:rPr>
          <w:rStyle w:val="FootnoteReference"/>
          <w:highlight w:val="yellow"/>
        </w:rPr>
        <w:footnoteReference w:id="12"/>
      </w:r>
      <w:r>
        <w:rPr>
          <w:highlight w:val="yellow"/>
        </w:rPr>
        <w:t xml:space="preserve"> hozta létre. </w:t>
      </w:r>
    </w:p>
    <w:p w:rsidR="00170A1A" w:rsidRPr="00BB2924" w:rsidRDefault="00170A1A" w:rsidP="005368DC">
      <w:pPr>
        <w:pStyle w:val="Hlistbullet2"/>
        <w:rPr>
          <w:highlight w:val="yellow"/>
        </w:rPr>
      </w:pPr>
      <w:r>
        <w:rPr>
          <w:highlight w:val="yellow"/>
        </w:rPr>
        <w:t xml:space="preserve">A </w:t>
      </w:r>
      <w:r>
        <w:rPr>
          <w:b/>
          <w:highlight w:val="yellow"/>
        </w:rPr>
        <w:t>nemzeti vidékfejlesztési hálózatok</w:t>
      </w:r>
      <w:r>
        <w:rPr>
          <w:highlight w:val="yellow"/>
        </w:rPr>
        <w:t xml:space="preserve"> olyan hálózatok, amelyek tagállami szinten „[összefogják] a vidékfejlesztéssel foglalkozó szervezeteket és közigazgatási szerveket”</w:t>
      </w:r>
      <w:r>
        <w:rPr>
          <w:rFonts w:ascii="ZWAdobeF" w:hAnsi="ZWAdobeF"/>
          <w:color w:val="auto"/>
          <w:sz w:val="2"/>
          <w:szCs w:val="2"/>
          <w:highlight w:val="yellow"/>
        </w:rPr>
        <w:t>12F</w:t>
      </w:r>
      <w:r w:rsidRPr="00BB2924">
        <w:rPr>
          <w:rStyle w:val="FootnoteReference"/>
          <w:highlight w:val="yellow"/>
        </w:rPr>
        <w:footnoteReference w:id="13"/>
      </w:r>
      <w:r>
        <w:rPr>
          <w:highlight w:val="yellow"/>
        </w:rPr>
        <w:t xml:space="preserve">. </w:t>
      </w:r>
    </w:p>
    <w:p w:rsidR="00170A1A" w:rsidRPr="00BB2924" w:rsidRDefault="00170A1A" w:rsidP="005368DC">
      <w:pPr>
        <w:pStyle w:val="Hlistbullet2"/>
        <w:rPr>
          <w:highlight w:val="yellow"/>
        </w:rPr>
      </w:pPr>
      <w:r>
        <w:rPr>
          <w:highlight w:val="yellow"/>
        </w:rPr>
        <w:t xml:space="preserve">A </w:t>
      </w:r>
      <w:r>
        <w:rPr>
          <w:b/>
          <w:highlight w:val="yellow"/>
        </w:rPr>
        <w:t>mezőgazdaság termelékenységét és fenntarthatóságát célzó európai innovációs partnerség</w:t>
      </w:r>
      <w:r>
        <w:rPr>
          <w:highlight w:val="yellow"/>
        </w:rPr>
        <w:t xml:space="preserve"> (az EIP-AGRI hálózat)</w:t>
      </w:r>
      <w:r>
        <w:rPr>
          <w:rFonts w:ascii="ZWAdobeF" w:hAnsi="ZWAdobeF"/>
          <w:color w:val="auto"/>
          <w:sz w:val="2"/>
          <w:szCs w:val="2"/>
          <w:highlight w:val="yellow"/>
        </w:rPr>
        <w:t>13F</w:t>
      </w:r>
      <w:r w:rsidRPr="00BB2924">
        <w:rPr>
          <w:rStyle w:val="FootnoteReference"/>
          <w:highlight w:val="yellow"/>
        </w:rPr>
        <w:footnoteReference w:id="14"/>
      </w:r>
      <w:r>
        <w:rPr>
          <w:highlight w:val="yellow"/>
        </w:rPr>
        <w:t xml:space="preserve"> egy új hálózat, amelyet azzal a céllal hoztak létre a 2014–2020-as programozási időszakra, hogy támogassa az „operatív csoportok, tanácsadási szolgáltatások és kutatók” közötti hálózatépítést, ezzel elősegítve az innovációt a vidékfejlesztési politika gyakorlati megvalósítása terén. </w:t>
      </w:r>
    </w:p>
    <w:p w:rsidR="00170A1A" w:rsidRPr="00BB2924" w:rsidRDefault="00170A1A" w:rsidP="00923616">
      <w:pPr>
        <w:pStyle w:val="HStandard"/>
        <w:rPr>
          <w:highlight w:val="yellow"/>
        </w:rPr>
      </w:pPr>
      <w:r>
        <w:rPr>
          <w:highlight w:val="yellow"/>
        </w:rPr>
        <w:t xml:space="preserve">Az uniós vidékfejlesztési hálózatok számos különböző informális hálózatot, például a gazdák önkéntes szervezeteit, a helyi akciócsoportokat és a vonatkozó szövetségeket, vidéki nem kormányzati szervezeteket, oktatási és kutatóintézeteket, vállalkozói csoportokat stb. is összekötnek. Ezek az informális hálózatok összekapcsolják a kedvezményezetteket a vidékfejlesztési politika gyakorlati megvalósításával, és lehetőséget nyújtanak az uniós szint, a VFP szintje és a helyi szintek közötti </w:t>
      </w:r>
      <w:r>
        <w:rPr>
          <w:highlight w:val="yellow"/>
        </w:rPr>
        <w:lastRenderedPageBreak/>
        <w:t xml:space="preserve">információcserére. Az informális hálózatok elősegítik az NVH és a vidékfejlesztés célkitűzéseinek eléréséhez rendelkezésre álló lehetőségek fejlesztését. </w:t>
      </w:r>
    </w:p>
    <w:p w:rsidR="00170A1A" w:rsidRPr="00BB2924" w:rsidRDefault="00170A1A" w:rsidP="00923616">
      <w:pPr>
        <w:pStyle w:val="HStandard"/>
        <w:rPr>
          <w:highlight w:val="yellow"/>
        </w:rPr>
      </w:pPr>
      <w:r>
        <w:rPr>
          <w:highlight w:val="yellow"/>
        </w:rPr>
        <w:t>A formális vidékfejlesztési hálózatoknál is találhatunk informális tulajdonságokat, például az irányítás vagy az érdekeltek közötti interakció terén.</w:t>
      </w:r>
    </w:p>
    <w:p w:rsidR="00170A1A" w:rsidRPr="00BB2924" w:rsidRDefault="00170A1A" w:rsidP="006D3475">
      <w:pPr>
        <w:pStyle w:val="HHeading5"/>
        <w:rPr>
          <w:highlight w:val="yellow"/>
        </w:rPr>
      </w:pPr>
      <w:r>
        <w:rPr>
          <w:highlight w:val="yellow"/>
        </w:rPr>
        <w:t>A hálózatok szerkezete</w:t>
      </w:r>
    </w:p>
    <w:p w:rsidR="00170A1A" w:rsidRPr="00BB2924" w:rsidRDefault="00170A1A" w:rsidP="00923616">
      <w:pPr>
        <w:pStyle w:val="HStandard"/>
        <w:rPr>
          <w:highlight w:val="yellow"/>
        </w:rPr>
      </w:pPr>
      <w:r>
        <w:rPr>
          <w:b/>
          <w:highlight w:val="yellow"/>
        </w:rPr>
        <w:t>A hálózat szerkezete jelentősen befolyásolja a tagok közötti hálózatépítés jellegét.</w:t>
      </w:r>
      <w:r>
        <w:rPr>
          <w:highlight w:val="yellow"/>
        </w:rPr>
        <w:t xml:space="preserve"> A hálózat lehet centralizált vagy decentralizált</w:t>
      </w:r>
      <w:r>
        <w:rPr>
          <w:rFonts w:ascii="ZWAdobeF" w:hAnsi="ZWAdobeF"/>
          <w:color w:val="auto"/>
          <w:sz w:val="2"/>
          <w:szCs w:val="2"/>
          <w:highlight w:val="yellow"/>
        </w:rPr>
        <w:t>14F</w:t>
      </w:r>
      <w:r w:rsidRPr="00BB2924">
        <w:rPr>
          <w:rStyle w:val="FootnoteReference"/>
          <w:highlight w:val="yellow"/>
        </w:rPr>
        <w:footnoteReference w:id="15"/>
      </w:r>
      <w:r>
        <w:rPr>
          <w:highlight w:val="yellow"/>
        </w:rPr>
        <w:t xml:space="preserve">. A centralizált hálózatoknál található egy központi mag, amely külön-külön kommunikál a tagokkal. A decentralizált hálózatoknál ezzel szemben többszörös kapcsolat jön létre a tagok között. </w:t>
      </w:r>
    </w:p>
    <w:p w:rsidR="00170A1A" w:rsidRPr="00BB2924" w:rsidRDefault="00170A1A" w:rsidP="00923616">
      <w:pPr>
        <w:pStyle w:val="HStandard"/>
        <w:rPr>
          <w:highlight w:val="yellow"/>
        </w:rPr>
      </w:pPr>
      <w:r>
        <w:rPr>
          <w:highlight w:val="yellow"/>
        </w:rPr>
        <w:t xml:space="preserve">Az uniós vidékfejlesztési hálózatok általában centralizált szerkezetűek, mivel a megbízóval (jelen esetben a Mezőgazdasági és Vidékfejlesztési Főigazgatósággal) szerződéses viszonyban álló, központi magként szolgáló HTE-k köré szerveződnek. Tagjaik között, valamint a tagok és a külső felek között azonban decentralizáltabb kommunikációt kell szorgalmazniuk, hogy az érdekeltek más csoportjait is elérjék. </w:t>
      </w:r>
    </w:p>
    <w:p w:rsidR="00170A1A" w:rsidRPr="00BB2924" w:rsidRDefault="00170A1A" w:rsidP="00923616">
      <w:pPr>
        <w:pStyle w:val="HStandard"/>
        <w:rPr>
          <w:highlight w:val="yellow"/>
        </w:rPr>
      </w:pPr>
      <w:r>
        <w:rPr>
          <w:highlight w:val="yellow"/>
        </w:rPr>
        <w:t xml:space="preserve">Az </w:t>
      </w:r>
      <w:r>
        <w:rPr>
          <w:b/>
          <w:highlight w:val="yellow"/>
        </w:rPr>
        <w:t>EVH szerkezetében</w:t>
      </w:r>
      <w:r>
        <w:rPr>
          <w:highlight w:val="yellow"/>
        </w:rPr>
        <w:t xml:space="preserve"> két támogató egység található eltérő funkciókkal: </w:t>
      </w:r>
    </w:p>
    <w:p w:rsidR="00170A1A" w:rsidRPr="00BB2924" w:rsidRDefault="00170A1A" w:rsidP="005368DC">
      <w:pPr>
        <w:pStyle w:val="Hlistbullet2"/>
        <w:rPr>
          <w:highlight w:val="yellow"/>
        </w:rPr>
      </w:pPr>
      <w:r>
        <w:rPr>
          <w:highlight w:val="yellow"/>
        </w:rPr>
        <w:t xml:space="preserve">Az </w:t>
      </w:r>
      <w:r>
        <w:rPr>
          <w:b/>
          <w:highlight w:val="yellow"/>
        </w:rPr>
        <w:t>EVH kapcsolattartó pontja</w:t>
      </w:r>
      <w:r>
        <w:rPr>
          <w:highlight w:val="yellow"/>
        </w:rPr>
        <w:t xml:space="preserve"> segítséget nyújt a Mezőgazdasági és Vidékfejlesztési Főigazgatóságnak az EVH működtetésében, és fókuszpontot biztosít az EVH tevékenységeihez. Támogatja a vidékfejlesztésben érdekeltek közötti uniós és nemzeti szintű hálózatépítést és együttműködést, biztosítja a velük és közöttük folytatott kommunikációt, végrehajtja a nemzeti szintű tematikus elemzést és különféle hálózatépítési eseményeket szervez. </w:t>
      </w:r>
    </w:p>
    <w:p w:rsidR="00170A1A" w:rsidRPr="00BB2924" w:rsidRDefault="00170A1A" w:rsidP="006D3475">
      <w:pPr>
        <w:pStyle w:val="Hlistbullet2"/>
        <w:rPr>
          <w:highlight w:val="yellow"/>
        </w:rPr>
      </w:pPr>
      <w:r>
        <w:rPr>
          <w:highlight w:val="yellow"/>
        </w:rPr>
        <w:t xml:space="preserve">Az </w:t>
      </w:r>
      <w:r>
        <w:rPr>
          <w:b/>
          <w:highlight w:val="yellow"/>
        </w:rPr>
        <w:t>EVH értékeléstámogató szolgálata</w:t>
      </w:r>
      <w:r>
        <w:rPr>
          <w:highlight w:val="yellow"/>
        </w:rPr>
        <w:t xml:space="preserve"> segítséget nyújt a Mezőgazdasági és Vidékfejlesztési Főigazgatóságnak, a tagállamoknak és az értékelő érdekelteknek a vidékfejlesztés közös monitoring- és értékelési rendszere számára meghatározott célkitűzések teljesítéséhez.</w:t>
      </w:r>
    </w:p>
    <w:p w:rsidR="00170A1A" w:rsidRPr="00BB2924" w:rsidRDefault="00170A1A" w:rsidP="00923616">
      <w:pPr>
        <w:pStyle w:val="HStandard"/>
        <w:rPr>
          <w:highlight w:val="yellow"/>
        </w:rPr>
      </w:pPr>
      <w:r>
        <w:rPr>
          <w:highlight w:val="yellow"/>
        </w:rPr>
        <w:t xml:space="preserve">Az </w:t>
      </w:r>
      <w:r>
        <w:rPr>
          <w:b/>
          <w:highlight w:val="yellow"/>
        </w:rPr>
        <w:t>EIP-AGRI hálózat szerkezetében</w:t>
      </w:r>
      <w:r>
        <w:rPr>
          <w:highlight w:val="yellow"/>
        </w:rPr>
        <w:t xml:space="preserve"> egy támogató egység található: az </w:t>
      </w:r>
      <w:r>
        <w:rPr>
          <w:b/>
          <w:highlight w:val="yellow"/>
        </w:rPr>
        <w:t>EIP-AGRI szolgáltatópontja</w:t>
      </w:r>
      <w:r>
        <w:rPr>
          <w:highlight w:val="yellow"/>
        </w:rPr>
        <w:t>. Közvetítőként vesz részt a hálózatban, hogy javítsa a mezőgazdasági innovációban érdekelt minden fél, azaz a mezőgazdasági termelők, a kutatók, a tanácsadók, a vállalkozások, a környezetvédelmi csoportok, a fogyasztói érdekvédelmi csoportok és egyéb nem kormányzati szervezetek közötti kommunikációt és együttműködést.</w:t>
      </w:r>
    </w:p>
    <w:p w:rsidR="00170A1A" w:rsidRPr="00BB2924" w:rsidRDefault="00170A1A" w:rsidP="00EF2430">
      <w:pPr>
        <w:pStyle w:val="HHeadingfigures"/>
        <w:rPr>
          <w:highlight w:val="yellow"/>
        </w:rPr>
      </w:pPr>
      <w:bookmarkStart w:id="5" w:name="_Toc445465116"/>
      <w:bookmarkStart w:id="6" w:name="_Toc464410805"/>
      <w:r>
        <w:rPr>
          <w:highlight w:val="yellow"/>
        </w:rPr>
        <w:t>Az Európai Unió vidékfejlesztési hálózatainak irányítási struktúrája</w:t>
      </w:r>
      <w:bookmarkEnd w:id="5"/>
      <w:bookmarkEnd w:id="6"/>
    </w:p>
    <w:p w:rsidR="00170A1A" w:rsidRPr="00BB2924" w:rsidRDefault="00170A1A" w:rsidP="00CB52DC">
      <w:pPr>
        <w:jc w:val="center"/>
        <w:rPr>
          <w:highlight w:val="yellow"/>
        </w:rPr>
      </w:pPr>
      <w:r w:rsidRPr="00A46B68">
        <w:rPr>
          <w:noProof/>
          <w:lang w:eastAsia="en-GB"/>
        </w:rPr>
        <w:lastRenderedPageBreak/>
        <w:drawing>
          <wp:inline distT="0" distB="0" distL="0" distR="0" wp14:anchorId="77E19383" wp14:editId="560F598B">
            <wp:extent cx="5731510" cy="3497647"/>
            <wp:effectExtent l="0" t="0" r="254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3497647"/>
                    </a:xfrm>
                    <a:prstGeom prst="rect">
                      <a:avLst/>
                    </a:prstGeom>
                  </pic:spPr>
                </pic:pic>
              </a:graphicData>
            </a:graphic>
          </wp:inline>
        </w:drawing>
      </w:r>
    </w:p>
    <w:p w:rsidR="00170A1A" w:rsidRPr="00BB2924" w:rsidRDefault="00170A1A" w:rsidP="00CB52DC">
      <w:pPr>
        <w:pStyle w:val="HSource"/>
        <w:rPr>
          <w:highlight w:val="yellow"/>
        </w:rPr>
      </w:pPr>
      <w:r>
        <w:rPr>
          <w:highlight w:val="yellow"/>
        </w:rPr>
        <w:t>Forrás: Európai vidékfejlesztési értékelési támogató szolgálat, 2016</w:t>
      </w:r>
    </w:p>
    <w:p w:rsidR="00170A1A" w:rsidRPr="00BB2924" w:rsidRDefault="00170A1A" w:rsidP="00315513">
      <w:pPr>
        <w:pStyle w:val="HHeading5"/>
        <w:rPr>
          <w:highlight w:val="yellow"/>
        </w:rPr>
      </w:pPr>
      <w:r>
        <w:rPr>
          <w:highlight w:val="yellow"/>
        </w:rPr>
        <w:t>Hogyan modellezhetők az NVH-k?</w:t>
      </w:r>
    </w:p>
    <w:p w:rsidR="00170A1A" w:rsidRPr="00BB2924" w:rsidRDefault="00170A1A" w:rsidP="00315513">
      <w:pPr>
        <w:pStyle w:val="HStandard"/>
        <w:jc w:val="left"/>
        <w:rPr>
          <w:highlight w:val="yellow"/>
        </w:rPr>
      </w:pPr>
      <w:r>
        <w:rPr>
          <w:highlight w:val="yellow"/>
        </w:rPr>
        <w:t>Az NVH-k három fő alrendszerből állnak:</w:t>
      </w:r>
    </w:p>
    <w:p w:rsidR="00170A1A" w:rsidRPr="00BB2924" w:rsidRDefault="00170A1A"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sz w:val="20"/>
          <w:szCs w:val="20"/>
          <w:highlight w:val="yellow"/>
        </w:rPr>
        <w:t xml:space="preserve">A </w:t>
      </w:r>
      <w:r>
        <w:rPr>
          <w:rFonts w:ascii="Arial" w:hAnsi="Arial"/>
          <w:b/>
          <w:sz w:val="20"/>
          <w:szCs w:val="20"/>
          <w:highlight w:val="yellow"/>
        </w:rPr>
        <w:t>megbízó</w:t>
      </w:r>
      <w:r>
        <w:rPr>
          <w:rFonts w:ascii="Arial" w:hAnsi="Arial"/>
          <w:sz w:val="20"/>
          <w:szCs w:val="20"/>
          <w:highlight w:val="yellow"/>
        </w:rPr>
        <w:t xml:space="preserve"> az NVH-t létrehozó és támogató érdekelt. Megbízza a HTE-t (házon belül, felhatalmazással vagy szerződés keretében) a hálózat kiépítésével és támogatásával. A megbízó lehet önálló </w:t>
      </w:r>
      <w:r>
        <w:rPr>
          <w:rFonts w:ascii="Arial" w:hAnsi="Arial"/>
          <w:b/>
          <w:sz w:val="20"/>
          <w:szCs w:val="20"/>
          <w:highlight w:val="yellow"/>
        </w:rPr>
        <w:t>szervezet</w:t>
      </w:r>
      <w:r>
        <w:rPr>
          <w:rFonts w:ascii="Arial" w:hAnsi="Arial"/>
          <w:sz w:val="20"/>
          <w:szCs w:val="20"/>
          <w:highlight w:val="yellow"/>
        </w:rPr>
        <w:t xml:space="preserve"> (sok esetben az </w:t>
      </w:r>
      <w:r>
        <w:rPr>
          <w:rFonts w:ascii="Arial" w:hAnsi="Arial"/>
          <w:b/>
          <w:sz w:val="20"/>
          <w:szCs w:val="20"/>
          <w:highlight w:val="yellow"/>
        </w:rPr>
        <w:t>irányító hatóság</w:t>
      </w:r>
      <w:r>
        <w:rPr>
          <w:rFonts w:ascii="Arial" w:hAnsi="Arial"/>
          <w:sz w:val="20"/>
          <w:szCs w:val="20"/>
          <w:highlight w:val="yellow"/>
        </w:rPr>
        <w:t xml:space="preserve">), vagy több kormányzati és civil társadalmi intézményből álló </w:t>
      </w:r>
      <w:r>
        <w:rPr>
          <w:rFonts w:ascii="Arial" w:hAnsi="Arial"/>
          <w:b/>
          <w:sz w:val="20"/>
          <w:szCs w:val="20"/>
          <w:highlight w:val="yellow"/>
        </w:rPr>
        <w:t>együttműködési rendszer</w:t>
      </w:r>
      <w:r>
        <w:rPr>
          <w:rFonts w:ascii="Arial" w:hAnsi="Arial"/>
          <w:sz w:val="20"/>
          <w:szCs w:val="20"/>
          <w:highlight w:val="yellow"/>
        </w:rPr>
        <w:t>.</w:t>
      </w:r>
    </w:p>
    <w:p w:rsidR="00170A1A" w:rsidRPr="00BB2924" w:rsidRDefault="00170A1A"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sz w:val="20"/>
          <w:szCs w:val="20"/>
          <w:highlight w:val="yellow"/>
        </w:rPr>
        <w:t xml:space="preserve">A </w:t>
      </w:r>
      <w:r>
        <w:rPr>
          <w:rFonts w:ascii="Arial" w:hAnsi="Arial"/>
          <w:b/>
          <w:sz w:val="20"/>
          <w:szCs w:val="20"/>
          <w:highlight w:val="yellow"/>
        </w:rPr>
        <w:t>hálózattámogató egység</w:t>
      </w:r>
      <w:r>
        <w:rPr>
          <w:rFonts w:ascii="Arial" w:hAnsi="Arial"/>
          <w:sz w:val="20"/>
          <w:szCs w:val="20"/>
          <w:highlight w:val="yellow"/>
        </w:rPr>
        <w:t xml:space="preserve"> (HTE) olyan </w:t>
      </w:r>
      <w:r>
        <w:rPr>
          <w:rFonts w:ascii="Arial" w:hAnsi="Arial"/>
          <w:b/>
          <w:sz w:val="20"/>
          <w:szCs w:val="20"/>
          <w:highlight w:val="yellow"/>
        </w:rPr>
        <w:t>szervezet,</w:t>
      </w:r>
      <w:r>
        <w:rPr>
          <w:rFonts w:ascii="Arial" w:hAnsi="Arial"/>
          <w:sz w:val="20"/>
          <w:szCs w:val="20"/>
          <w:highlight w:val="yellow"/>
        </w:rPr>
        <w:t xml:space="preserve"> amely vagy az irányító hatóság része, vagy szerződéses partner, és feladata az NVH kiépítése és támogatása. Rendszerint ez az egység az NVH központi csomópontja. A HTE kommunikációt folytat a hálózat tagjaival, elősegíti a tematikus információk és elemzési eredmények cseréjét, valamint megosztja a vonatkozó információkat. A HTE ezenkívül képzéseket készít elő és tart a helyi akciócsoportoknak, támogatja az együttműködési projekteket, ösztönzi a tanácsadók és az innovációt támogató szolgálatok közötti hálózatépítést, lehetővé teszi a VFP-vel kapcsolatos monitoring- és értékelési eredmények megosztását és terjesztését, valamint részt vesz az EVH tevékenységeiben</w:t>
      </w:r>
      <w:r>
        <w:rPr>
          <w:rFonts w:ascii="ZWAdobeF" w:hAnsi="ZWAdobeF"/>
          <w:sz w:val="2"/>
          <w:szCs w:val="2"/>
          <w:highlight w:val="yellow"/>
        </w:rPr>
        <w:t>15F</w:t>
      </w:r>
      <w:r w:rsidRPr="00BB2924">
        <w:rPr>
          <w:rStyle w:val="FootnoteReference"/>
          <w:rFonts w:cs="Arial"/>
          <w:szCs w:val="12"/>
          <w:highlight w:val="yellow"/>
        </w:rPr>
        <w:footnoteReference w:id="16"/>
      </w:r>
      <w:r>
        <w:rPr>
          <w:rFonts w:ascii="Arial" w:hAnsi="Arial"/>
          <w:sz w:val="20"/>
          <w:szCs w:val="20"/>
          <w:highlight w:val="yellow"/>
        </w:rPr>
        <w:t xml:space="preserve">, és hozzájárul azokhoz. </w:t>
      </w:r>
    </w:p>
    <w:p w:rsidR="00170A1A" w:rsidRPr="00BB2924" w:rsidRDefault="00170A1A" w:rsidP="00892664">
      <w:pPr>
        <w:pStyle w:val="ListParagraph"/>
        <w:numPr>
          <w:ilvl w:val="1"/>
          <w:numId w:val="13"/>
        </w:numPr>
        <w:spacing w:after="200" w:line="276" w:lineRule="auto"/>
        <w:jc w:val="both"/>
        <w:rPr>
          <w:rFonts w:ascii="Arial" w:hAnsi="Arial" w:cs="Arial"/>
          <w:sz w:val="20"/>
          <w:szCs w:val="20"/>
          <w:highlight w:val="yellow"/>
        </w:rPr>
      </w:pPr>
      <w:r>
        <w:rPr>
          <w:highlight w:val="yellow"/>
        </w:rPr>
        <w:t xml:space="preserve">Az </w:t>
      </w:r>
      <w:r>
        <w:rPr>
          <w:b/>
          <w:highlight w:val="yellow"/>
        </w:rPr>
        <w:t>NVH</w:t>
      </w:r>
      <w:r>
        <w:rPr>
          <w:highlight w:val="yellow"/>
        </w:rPr>
        <w:t xml:space="preserve"> olyan </w:t>
      </w:r>
      <w:r>
        <w:rPr>
          <w:b/>
          <w:highlight w:val="yellow"/>
        </w:rPr>
        <w:t>hálózat,</w:t>
      </w:r>
      <w:r>
        <w:rPr>
          <w:highlight w:val="yellow"/>
        </w:rPr>
        <w:t xml:space="preserve"> amelyet természeténél fogva nehéz pontosan körülhatárolni, mivel magában foglalja az NVH tevékenységeivel érintett összes szereplőt, akik vagy közvetlenül, vagy legalább potenciálisan közreműködői és/vagy használói a rendszernek.</w:t>
      </w:r>
      <w:r>
        <w:rPr>
          <w:rFonts w:ascii="Arial" w:hAnsi="Arial"/>
          <w:sz w:val="20"/>
          <w:szCs w:val="20"/>
          <w:highlight w:val="yellow"/>
        </w:rPr>
        <w:t xml:space="preserve"> Az NVH elviekben az a. és b. pontban felsorolt szereplőket is magában foglalja.</w:t>
      </w:r>
    </w:p>
    <w:p w:rsidR="00170A1A" w:rsidRPr="00BB2924" w:rsidRDefault="00170A1A" w:rsidP="00315513">
      <w:pPr>
        <w:pStyle w:val="HStandard"/>
        <w:jc w:val="left"/>
        <w:rPr>
          <w:highlight w:val="yellow"/>
        </w:rPr>
      </w:pPr>
      <w:r>
        <w:rPr>
          <w:highlight w:val="yellow"/>
        </w:rPr>
        <w:t>Az alábbi ábra az NVH felépítésének tipikus példáját mutatja be:</w:t>
      </w:r>
    </w:p>
    <w:p w:rsidR="00170A1A" w:rsidRPr="00BB2924" w:rsidRDefault="00170A1A" w:rsidP="00EF2430">
      <w:pPr>
        <w:pStyle w:val="HHeadingfigures"/>
        <w:rPr>
          <w:highlight w:val="yellow"/>
        </w:rPr>
      </w:pPr>
      <w:bookmarkStart w:id="7" w:name="_Toc445465117"/>
      <w:bookmarkStart w:id="8" w:name="_Toc464410806"/>
      <w:r>
        <w:rPr>
          <w:highlight w:val="yellow"/>
        </w:rPr>
        <w:t>Az NVH felépítése</w:t>
      </w:r>
      <w:bookmarkEnd w:id="7"/>
      <w:bookmarkEnd w:id="8"/>
    </w:p>
    <w:p w:rsidR="00170A1A" w:rsidRPr="00BB2924" w:rsidRDefault="00170A1A" w:rsidP="008A261C">
      <w:pPr>
        <w:jc w:val="center"/>
        <w:rPr>
          <w:highlight w:val="yellow"/>
        </w:rPr>
      </w:pPr>
      <w:r w:rsidRPr="00A46B68">
        <w:rPr>
          <w:noProof/>
          <w:lang w:eastAsia="en-GB"/>
        </w:rPr>
        <w:lastRenderedPageBreak/>
        <w:drawing>
          <wp:inline distT="0" distB="0" distL="0" distR="0" wp14:anchorId="76B6FE8F" wp14:editId="1CC001DB">
            <wp:extent cx="5731510" cy="414294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4142945"/>
                    </a:xfrm>
                    <a:prstGeom prst="rect">
                      <a:avLst/>
                    </a:prstGeom>
                  </pic:spPr>
                </pic:pic>
              </a:graphicData>
            </a:graphic>
          </wp:inline>
        </w:drawing>
      </w:r>
    </w:p>
    <w:p w:rsidR="00170A1A" w:rsidRPr="00BB2924" w:rsidRDefault="00170A1A" w:rsidP="00315513">
      <w:pPr>
        <w:pStyle w:val="HSource"/>
        <w:rPr>
          <w:rFonts w:cs="Arial"/>
          <w:highlight w:val="yellow"/>
        </w:rPr>
      </w:pPr>
      <w:r>
        <w:rPr>
          <w:highlight w:val="yellow"/>
        </w:rPr>
        <w:t>Forrás: Európai vidékfejlesztési értékelési támogató szolgálat, 2016</w:t>
      </w:r>
    </w:p>
    <w:p w:rsidR="00170A1A" w:rsidRPr="00BB2924" w:rsidRDefault="00170A1A" w:rsidP="00315513">
      <w:pPr>
        <w:pStyle w:val="HStandard"/>
        <w:rPr>
          <w:highlight w:val="yellow"/>
        </w:rPr>
      </w:pPr>
      <w:r>
        <w:rPr>
          <w:highlight w:val="yellow"/>
        </w:rPr>
        <w:t xml:space="preserve">A </w:t>
      </w:r>
      <w:r>
        <w:rPr>
          <w:b/>
          <w:highlight w:val="yellow"/>
        </w:rPr>
        <w:t>központi terület</w:t>
      </w:r>
      <w:r>
        <w:rPr>
          <w:highlight w:val="yellow"/>
        </w:rPr>
        <w:t xml:space="preserve"> szereplői rendszeresen együttműködnek egymással. Úgy tekinthető, hogy együtt egy együttműködési rendszert alkotnak. A megbízót (irányító hatóságot) nagy zöld téglalapok jelzik. A kis zöld téglalapok a HTE felügyeletéhez kapcsolódó konkrét feladatokat végrehajtó egyéb intézményeket jelölnek. A HTE-t (b) narancssárga kör szemlélteti; példánkban a HTE működtetését külső konzorciumra bízták. A konzorciumi partnereket vastag narancssárga kontúrral rajzolt narancssárga téglalapok szimbolizálják. A hálózat magjában további, piros kontúrral rajzolt narancssárga rombuszként ábrázolt kulcsszereplők találhatók (például a monitoringbizottságban vagy mint rendszeres tudásszolgáltatók). A partnerség a jogi keretnek</w:t>
      </w:r>
      <w:r>
        <w:rPr>
          <w:rFonts w:ascii="ZWAdobeF" w:hAnsi="ZWAdobeF"/>
          <w:color w:val="auto"/>
          <w:sz w:val="2"/>
          <w:szCs w:val="2"/>
          <w:highlight w:val="yellow"/>
        </w:rPr>
        <w:t>16F</w:t>
      </w:r>
      <w:r w:rsidRPr="00BB2924">
        <w:rPr>
          <w:rStyle w:val="FootnoteReference"/>
          <w:highlight w:val="yellow"/>
        </w:rPr>
        <w:footnoteReference w:id="17"/>
      </w:r>
      <w:r>
        <w:rPr>
          <w:highlight w:val="yellow"/>
        </w:rPr>
        <w:t xml:space="preserve"> megfelelően „illetékes hatóságokból”, „gazdasági és szociális partnerekből”, valamint a „civil társadalmat képviselő érintett szervezetekből” áll, és képviselteti magát a központi területen.</w:t>
      </w:r>
      <w:r>
        <w:rPr>
          <w:rFonts w:ascii="ZWAdobeF" w:hAnsi="ZWAdobeF"/>
          <w:color w:val="auto"/>
          <w:sz w:val="2"/>
          <w:szCs w:val="2"/>
          <w:highlight w:val="yellow"/>
        </w:rPr>
        <w:t>17F</w:t>
      </w:r>
      <w:r w:rsidRPr="00BB2924">
        <w:rPr>
          <w:rStyle w:val="FootnoteReference"/>
          <w:highlight w:val="yellow"/>
        </w:rPr>
        <w:footnoteReference w:id="18"/>
      </w:r>
    </w:p>
    <w:p w:rsidR="00170A1A" w:rsidRPr="00BB2924" w:rsidRDefault="00170A1A" w:rsidP="008A261C">
      <w:pPr>
        <w:pStyle w:val="HStandard"/>
        <w:rPr>
          <w:highlight w:val="yellow"/>
        </w:rPr>
      </w:pPr>
      <w:r>
        <w:rPr>
          <w:highlight w:val="yellow"/>
        </w:rPr>
        <w:t xml:space="preserve">A szaggatott vonallal körülhatárolt </w:t>
      </w:r>
      <w:r>
        <w:rPr>
          <w:b/>
          <w:highlight w:val="yellow"/>
        </w:rPr>
        <w:t>második mező</w:t>
      </w:r>
      <w:r>
        <w:rPr>
          <w:highlight w:val="yellow"/>
        </w:rPr>
        <w:t xml:space="preserve"> a HTE-szolgáltatások fő ügyfelei és közreműködői között található vidéki szereplőket tartalmazza, ideértve a helyi akciócsoportokat, tanácsadói szolgálatokat, oktatási intézményeket, egyetemeket stb. </w:t>
      </w:r>
    </w:p>
    <w:p w:rsidR="00170A1A" w:rsidRPr="00BB2924" w:rsidRDefault="00170A1A" w:rsidP="008A261C">
      <w:pPr>
        <w:pStyle w:val="HStandard"/>
        <w:rPr>
          <w:highlight w:val="yellow"/>
        </w:rPr>
      </w:pPr>
      <w:r>
        <w:rPr>
          <w:highlight w:val="yellow"/>
        </w:rPr>
        <w:t xml:space="preserve">Kifelé haladva, a </w:t>
      </w:r>
      <w:r>
        <w:rPr>
          <w:b/>
          <w:highlight w:val="yellow"/>
        </w:rPr>
        <w:t>harmadik mezőben</w:t>
      </w:r>
      <w:r>
        <w:rPr>
          <w:highlight w:val="yellow"/>
        </w:rPr>
        <w:t xml:space="preserve"> található szereplők kisebb mértékben vesznek részt a folyamatokban, szerepük csak adott témákra és bizonyos eseményekre, például tájékoztató munkaértekezletekre korlátozódik. </w:t>
      </w:r>
    </w:p>
    <w:p w:rsidR="00170A1A" w:rsidRPr="00BB2924" w:rsidRDefault="00170A1A" w:rsidP="008A261C">
      <w:pPr>
        <w:pStyle w:val="HStandard"/>
        <w:rPr>
          <w:highlight w:val="yellow"/>
        </w:rPr>
      </w:pPr>
      <w:r>
        <w:rPr>
          <w:highlight w:val="yellow"/>
        </w:rPr>
        <w:lastRenderedPageBreak/>
        <w:t xml:space="preserve">A </w:t>
      </w:r>
      <w:r>
        <w:rPr>
          <w:b/>
          <w:highlight w:val="yellow"/>
        </w:rPr>
        <w:t>legkülső mező</w:t>
      </w:r>
      <w:r>
        <w:rPr>
          <w:highlight w:val="yellow"/>
        </w:rPr>
        <w:t xml:space="preserve"> azokat a viszonylag passzív szereplőket jelzi, amelyeket ugyanakkor a kulcsszereplők a hálózati tevékenységek potenciális közreműködőiként vagy használóiként tartanak számon. </w:t>
      </w:r>
    </w:p>
    <w:p w:rsidR="00170A1A" w:rsidRPr="00BB2924" w:rsidRDefault="00170A1A" w:rsidP="00315513">
      <w:pPr>
        <w:pStyle w:val="HStandard"/>
        <w:jc w:val="left"/>
        <w:rPr>
          <w:highlight w:val="yellow"/>
        </w:rPr>
      </w:pPr>
      <w:r>
        <w:rPr>
          <w:highlight w:val="yellow"/>
        </w:rPr>
        <w:t>Az összes szereplő és mező egésze alkotja a teljes NVH-t (c). A szereplők számos módon kapcsolódnak kölcsönösen egymáshoz, noha ezt az ábra az áttekinthetőség kedvéért nem mutatja.</w:t>
      </w:r>
    </w:p>
    <w:p w:rsidR="00170A1A" w:rsidRPr="00BB2924" w:rsidRDefault="00170A1A" w:rsidP="00F14A86">
      <w:pPr>
        <w:pStyle w:val="HStandard"/>
        <w:rPr>
          <w:highlight w:val="yellow"/>
        </w:rPr>
      </w:pPr>
      <w:r>
        <w:rPr>
          <w:highlight w:val="yellow"/>
        </w:rPr>
        <w:t>Az NVH fent bemutatott általános felépítése ellenére minden NVH saját meghatározást dolgozhat ki, és eltérő felépítést hozhat létre, például az érdekelt felek elemzésének módszereit alkalmazva</w:t>
      </w:r>
      <w:r>
        <w:rPr>
          <w:rFonts w:ascii="ZWAdobeF" w:hAnsi="ZWAdobeF"/>
          <w:color w:val="auto"/>
          <w:sz w:val="2"/>
          <w:szCs w:val="2"/>
          <w:highlight w:val="yellow"/>
        </w:rPr>
        <w:t>18F</w:t>
      </w:r>
      <w:r w:rsidRPr="00BB2924">
        <w:rPr>
          <w:rStyle w:val="FootnoteReference"/>
          <w:szCs w:val="12"/>
          <w:highlight w:val="yellow"/>
        </w:rPr>
        <w:footnoteReference w:id="19"/>
      </w:r>
      <w:r>
        <w:rPr>
          <w:highlight w:val="yellow"/>
        </w:rPr>
        <w:t>. A gyakorlatban az egyes tagállamok között eltérés lehet az NVH-k felépítésében</w:t>
      </w:r>
      <w:r>
        <w:rPr>
          <w:rFonts w:ascii="ZWAdobeF" w:hAnsi="ZWAdobeF"/>
          <w:color w:val="auto"/>
          <w:sz w:val="2"/>
          <w:szCs w:val="2"/>
          <w:highlight w:val="yellow"/>
        </w:rPr>
        <w:t>19F</w:t>
      </w:r>
      <w:r w:rsidRPr="00BB2924">
        <w:rPr>
          <w:rStyle w:val="FootnoteReference"/>
          <w:szCs w:val="12"/>
          <w:highlight w:val="yellow"/>
        </w:rPr>
        <w:footnoteReference w:id="20"/>
      </w:r>
      <w:r>
        <w:rPr>
          <w:highlight w:val="yellow"/>
        </w:rPr>
        <w:t xml:space="preserve">. A HTE például köthet szerződést regionális csomópontokkal az NVH-tagok könnyebb elérése érdekében. Bizonyos NVH-kban korlátozottabb a tagfelvétel, másokban pedig szabadabb.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B57DA2">
        <w:trPr>
          <w:trHeight w:val="330"/>
        </w:trPr>
        <w:tc>
          <w:tcPr>
            <w:tcW w:w="9016" w:type="dxa"/>
            <w:shd w:val="clear" w:color="auto" w:fill="F5F4F4" w:themeFill="background2" w:themeFillTint="66"/>
          </w:tcPr>
          <w:p w:rsidR="00170A1A" w:rsidRPr="00BB2924" w:rsidRDefault="00170A1A" w:rsidP="00B57DA2">
            <w:pPr>
              <w:pStyle w:val="HStandard"/>
              <w:jc w:val="left"/>
              <w:rPr>
                <w:b/>
                <w:highlight w:val="yellow"/>
              </w:rPr>
            </w:pPr>
            <w:r>
              <w:rPr>
                <w:b/>
                <w:highlight w:val="yellow"/>
              </w:rPr>
              <w:t>Az NVH értékeléséhez fontos megérteni az adott hálózat meghatározását és szerkezetét.</w:t>
            </w:r>
          </w:p>
        </w:tc>
      </w:tr>
    </w:tbl>
    <w:p w:rsidR="00170A1A" w:rsidRPr="00BB2924" w:rsidRDefault="00170A1A" w:rsidP="00680DA9">
      <w:pPr>
        <w:pStyle w:val="HHeading2"/>
        <w:rPr>
          <w:highlight w:val="yellow"/>
        </w:rPr>
      </w:pPr>
      <w:bookmarkStart w:id="9" w:name="_Toc464410780"/>
      <w:r>
        <w:rPr>
          <w:highlight w:val="yellow"/>
        </w:rPr>
        <w:t>Miért és hogyan kell végrehajtani az NVH-k értékelését?</w:t>
      </w:r>
      <w:bookmarkEnd w:id="9"/>
    </w:p>
    <w:p w:rsidR="00170A1A" w:rsidRPr="00BB2924" w:rsidRDefault="00170A1A" w:rsidP="006D3475">
      <w:pPr>
        <w:pStyle w:val="HHeading5"/>
        <w:rPr>
          <w:highlight w:val="yellow"/>
        </w:rPr>
      </w:pPr>
      <w:r>
        <w:rPr>
          <w:highlight w:val="yellow"/>
        </w:rPr>
        <w:t>Az NVH-k értékelésének célja</w:t>
      </w:r>
    </w:p>
    <w:p w:rsidR="00170A1A" w:rsidRPr="00BB2924" w:rsidRDefault="00170A1A" w:rsidP="00923616">
      <w:pPr>
        <w:pStyle w:val="HStandard"/>
        <w:rPr>
          <w:highlight w:val="yellow"/>
        </w:rPr>
      </w:pPr>
      <w:r>
        <w:rPr>
          <w:b/>
          <w:highlight w:val="yellow"/>
        </w:rPr>
        <w:t>Az NVH-k az Európai Unió vidékfejlesztési politikájának kulcselemei közé tartoznak.</w:t>
      </w:r>
      <w:r>
        <w:rPr>
          <w:highlight w:val="yellow"/>
        </w:rPr>
        <w:t xml:space="preserve"> Ezért értékelésükre a teljes programozási időszak során szükség van</w:t>
      </w:r>
      <w:r>
        <w:rPr>
          <w:rFonts w:ascii="ZWAdobeF" w:hAnsi="ZWAdobeF"/>
          <w:color w:val="auto"/>
          <w:sz w:val="2"/>
          <w:szCs w:val="2"/>
          <w:highlight w:val="yellow"/>
        </w:rPr>
        <w:t>20F</w:t>
      </w:r>
      <w:r w:rsidRPr="00BB2924">
        <w:rPr>
          <w:rStyle w:val="FootnoteReference"/>
          <w:highlight w:val="yellow"/>
        </w:rPr>
        <w:footnoteReference w:id="21"/>
      </w:r>
      <w:r>
        <w:rPr>
          <w:highlight w:val="yellow"/>
        </w:rPr>
        <w:t xml:space="preserve">. </w:t>
      </w:r>
    </w:p>
    <w:p w:rsidR="00170A1A" w:rsidRPr="00BB2924" w:rsidRDefault="00170A1A" w:rsidP="005F73EB">
      <w:pPr>
        <w:pStyle w:val="HStandard"/>
        <w:rPr>
          <w:highlight w:val="yellow"/>
        </w:rPr>
      </w:pPr>
      <w:r>
        <w:rPr>
          <w:highlight w:val="yellow"/>
        </w:rPr>
        <w:t>A jogi aktusok</w:t>
      </w:r>
      <w:r>
        <w:rPr>
          <w:rFonts w:ascii="ZWAdobeF" w:hAnsi="ZWAdobeF"/>
          <w:color w:val="auto"/>
          <w:sz w:val="2"/>
          <w:szCs w:val="2"/>
          <w:highlight w:val="yellow"/>
        </w:rPr>
        <w:t>21F</w:t>
      </w:r>
      <w:r w:rsidRPr="00BB2924">
        <w:rPr>
          <w:rStyle w:val="FootnoteReference"/>
          <w:highlight w:val="yellow"/>
        </w:rPr>
        <w:footnoteReference w:id="22"/>
      </w:r>
      <w:r>
        <w:rPr>
          <w:highlight w:val="yellow"/>
        </w:rPr>
        <w:t xml:space="preserve"> konkrét célkitűzéseket határoznak meg az NVH-k számára az Európai Unió vidékfejlesztési politikájának végrehajtásában való közreműködés érdekében: </w:t>
      </w:r>
    </w:p>
    <w:p w:rsidR="00170A1A" w:rsidRPr="00BB2924" w:rsidRDefault="00170A1A" w:rsidP="00923616">
      <w:pPr>
        <w:pStyle w:val="Hlistabc"/>
        <w:rPr>
          <w:highlight w:val="yellow"/>
        </w:rPr>
      </w:pPr>
      <w:r>
        <w:rPr>
          <w:highlight w:val="yellow"/>
        </w:rPr>
        <w:t xml:space="preserve">az érdekelt felek fokozottabb bevonása a vidékfejlesztés végrehajtásába, </w:t>
      </w:r>
    </w:p>
    <w:p w:rsidR="00170A1A" w:rsidRPr="00BB2924" w:rsidRDefault="00170A1A" w:rsidP="00923616">
      <w:pPr>
        <w:pStyle w:val="Hlistabc"/>
        <w:rPr>
          <w:highlight w:val="yellow"/>
        </w:rPr>
      </w:pPr>
      <w:r>
        <w:rPr>
          <w:highlight w:val="yellow"/>
        </w:rPr>
        <w:t xml:space="preserve">a vidékfejlesztési programok végrehajtása minőségének javítása, </w:t>
      </w:r>
    </w:p>
    <w:p w:rsidR="00170A1A" w:rsidRPr="00BB2924" w:rsidRDefault="00170A1A" w:rsidP="00923616">
      <w:pPr>
        <w:pStyle w:val="Hlistabc"/>
        <w:rPr>
          <w:highlight w:val="yellow"/>
        </w:rPr>
      </w:pPr>
      <w:r>
        <w:rPr>
          <w:highlight w:val="yellow"/>
        </w:rPr>
        <w:t xml:space="preserve">a szélesebb közvéleménynek és a potenciális kedvezményezetteknek a vidékfejlesztési politikáról és a finanszírozási lehetőségekről való tájékoztatása, és </w:t>
      </w:r>
    </w:p>
    <w:p w:rsidR="00170A1A" w:rsidRPr="00BB2924" w:rsidRDefault="00170A1A" w:rsidP="00FF5B4F">
      <w:pPr>
        <w:pStyle w:val="Hlistabc2"/>
        <w:rPr>
          <w:highlight w:val="yellow"/>
        </w:rPr>
      </w:pPr>
      <w:r>
        <w:rPr>
          <w:highlight w:val="yellow"/>
        </w:rPr>
        <w:t xml:space="preserve">az innováció előmozdítása a mezőgazdaságban, az élelmiszer-feldolgozásban, az erdőgazdálkodásban és a vidéki térségekben. </w:t>
      </w:r>
    </w:p>
    <w:p w:rsidR="00170A1A" w:rsidRPr="00BB2924" w:rsidRDefault="00170A1A" w:rsidP="00923616">
      <w:pPr>
        <w:pStyle w:val="HStandard"/>
        <w:rPr>
          <w:highlight w:val="yellow"/>
        </w:rPr>
      </w:pPr>
      <w:r>
        <w:rPr>
          <w:highlight w:val="yellow"/>
        </w:rPr>
        <w:t xml:space="preserve">Az </w:t>
      </w:r>
      <w:r>
        <w:rPr>
          <w:b/>
          <w:highlight w:val="yellow"/>
        </w:rPr>
        <w:t>értékelés</w:t>
      </w:r>
      <w:r>
        <w:rPr>
          <w:highlight w:val="yellow"/>
        </w:rPr>
        <w:t xml:space="preserve"> az NVH tevékenységeire vonatkozó eredmények, hatások és hozzáadott érték</w:t>
      </w:r>
      <w:r>
        <w:rPr>
          <w:rFonts w:ascii="ZWAdobeF" w:hAnsi="ZWAdobeF"/>
          <w:color w:val="auto"/>
          <w:sz w:val="2"/>
          <w:szCs w:val="2"/>
          <w:highlight w:val="yellow"/>
        </w:rPr>
        <w:t>22F</w:t>
      </w:r>
      <w:r w:rsidRPr="00BB2924">
        <w:rPr>
          <w:rStyle w:val="FootnoteReference"/>
          <w:highlight w:val="yellow"/>
        </w:rPr>
        <w:footnoteReference w:id="23"/>
      </w:r>
      <w:r>
        <w:rPr>
          <w:highlight w:val="yellow"/>
        </w:rPr>
        <w:t xml:space="preserve"> vizsgálata révén </w:t>
      </w:r>
      <w:r>
        <w:rPr>
          <w:b/>
          <w:highlight w:val="yellow"/>
        </w:rPr>
        <w:t>segít a célkitűzések elérésének értékelésében.</w:t>
      </w:r>
      <w:r>
        <w:rPr>
          <w:highlight w:val="yellow"/>
        </w:rPr>
        <w:t xml:space="preserve"> Ezáltal javítható a hálózati tevékenységek tervezése, minősége és végrehajtása, valamint igazolhatók és legitimálhatók a felhasznált támogatások. Az értékelés növeli az NVH-beavatkozások átláthatóságát és elszámoltathatóságát, mivel bemutatja az érdekelteknek és az adófizetőknek, hogy hogyan történt a pénzösszegek felhasználása. </w:t>
      </w:r>
    </w:p>
    <w:p w:rsidR="00170A1A" w:rsidRPr="00BB2924" w:rsidRDefault="00170A1A" w:rsidP="006D3475">
      <w:pPr>
        <w:pStyle w:val="HHeading5"/>
        <w:rPr>
          <w:highlight w:val="yellow"/>
        </w:rPr>
      </w:pPr>
      <w:r>
        <w:rPr>
          <w:highlight w:val="yellow"/>
        </w:rPr>
        <w:t xml:space="preserve">Az NVH-k értékelésének formái </w:t>
      </w:r>
    </w:p>
    <w:p w:rsidR="00170A1A" w:rsidRPr="00BB2924" w:rsidRDefault="00170A1A" w:rsidP="00115611">
      <w:pPr>
        <w:pStyle w:val="HStandard"/>
        <w:rPr>
          <w:highlight w:val="yellow"/>
        </w:rPr>
      </w:pPr>
      <w:r>
        <w:rPr>
          <w:b/>
          <w:highlight w:val="yellow"/>
        </w:rPr>
        <w:t>Az NVH-k értékelésének különböző formái léteznek.</w:t>
      </w:r>
      <w:r>
        <w:rPr>
          <w:highlight w:val="yellow"/>
        </w:rPr>
        <w:t xml:space="preserve"> Azokban a tagállamokban, amelyekben az NVH nem különálló program, az NVH értékelését általában a VFP részeként hajtják végre, és csak esetlegesen választják az önálló értékelést. Az NVHP-t ezzel szemben – a többi programhoz hasonlóan – mindig külön értékelés során kell elbírálni. </w:t>
      </w:r>
    </w:p>
    <w:p w:rsidR="00170A1A" w:rsidRPr="00BB2924" w:rsidRDefault="00170A1A" w:rsidP="00FF5B4F">
      <w:pPr>
        <w:pStyle w:val="HStandard"/>
        <w:rPr>
          <w:highlight w:val="yellow"/>
        </w:rPr>
      </w:pPr>
      <w:r>
        <w:rPr>
          <w:b/>
          <w:highlight w:val="yellow"/>
        </w:rPr>
        <w:lastRenderedPageBreak/>
        <w:t>Az NVH-k értékelése</w:t>
      </w:r>
      <w:r>
        <w:rPr>
          <w:highlight w:val="yellow"/>
        </w:rPr>
        <w:t xml:space="preserve"> a különféle témák </w:t>
      </w:r>
      <w:r>
        <w:rPr>
          <w:b/>
          <w:highlight w:val="yellow"/>
        </w:rPr>
        <w:t>tematikus értékelésének részét is képezheti.</w:t>
      </w:r>
      <w:r>
        <w:rPr>
          <w:highlight w:val="yellow"/>
        </w:rPr>
        <w:t xml:space="preserve"> Az innováció tematikus értékelése során például értékelni lehet az NVH-tevékenységeknek az innovációs partnerség támogatásához, többek között az innovatív megközelítések átadásához, a VFP intézkedései által támogatott, előremutató projektek terjesztéséhez stb. történő hozzájárulását. Ezenfelül magában foglalhatja az NVH és az EIP-AGRI hálózat együttműködését.</w:t>
      </w:r>
    </w:p>
    <w:p w:rsidR="00170A1A" w:rsidRPr="00BB2924" w:rsidRDefault="00170A1A" w:rsidP="00E02C8A">
      <w:pPr>
        <w:pStyle w:val="HStandard"/>
        <w:rPr>
          <w:rFonts w:ascii="Helvetica" w:hAnsi="Helvetica" w:cs="Helvetica"/>
          <w:color w:val="auto"/>
          <w:highlight w:val="yellow"/>
        </w:rPr>
      </w:pPr>
      <w:r>
        <w:rPr>
          <w:highlight w:val="yellow"/>
        </w:rPr>
        <w:t xml:space="preserve">Az NVH-k úgy is dönthetnek, hogy az eredményeket, hatásokat és a hálózati célkitűzések elérését önértékeléssel mérik fel. </w:t>
      </w:r>
    </w:p>
    <w:p w:rsidR="00170A1A" w:rsidRPr="00BB2924" w:rsidRDefault="00170A1A" w:rsidP="00FF5B4F">
      <w:pPr>
        <w:pStyle w:val="HStandard"/>
        <w:rPr>
          <w:highlight w:val="yellow"/>
        </w:rPr>
      </w:pPr>
      <w:r>
        <w:rPr>
          <w:highlight w:val="yellow"/>
        </w:rPr>
        <w:t>Az NVH-k értékelésének kiválasztott formája a jogszabályi előírásokon kívül az irányító hatóság és a HTE konkrét érdekeitől, valamint az értékelésre elkülönített költségvetéstől is függ.</w:t>
      </w:r>
    </w:p>
    <w:p w:rsidR="00170A1A" w:rsidRPr="00BB2924" w:rsidRDefault="00170A1A" w:rsidP="006D3475">
      <w:pPr>
        <w:pStyle w:val="HHeading5"/>
        <w:rPr>
          <w:highlight w:val="yellow"/>
        </w:rPr>
      </w:pPr>
      <w:r>
        <w:rPr>
          <w:highlight w:val="yellow"/>
        </w:rPr>
        <w:t>Az NVH-k önértékelése</w:t>
      </w:r>
    </w:p>
    <w:p w:rsidR="00170A1A" w:rsidRPr="00BB2924" w:rsidRDefault="00170A1A" w:rsidP="00FF5B4F">
      <w:pPr>
        <w:pStyle w:val="HStandard"/>
        <w:rPr>
          <w:highlight w:val="yellow"/>
        </w:rPr>
      </w:pPr>
      <w:r>
        <w:rPr>
          <w:highlight w:val="yellow"/>
        </w:rPr>
        <w:t xml:space="preserve">Az </w:t>
      </w:r>
      <w:r>
        <w:rPr>
          <w:b/>
          <w:highlight w:val="yellow"/>
        </w:rPr>
        <w:t>önértékelés során az NVH saját maga</w:t>
      </w:r>
      <w:r>
        <w:rPr>
          <w:highlight w:val="yellow"/>
        </w:rPr>
        <w:t xml:space="preserve"> méri fel az NVH tevékenységeit és teljesítményét, és alakít ki azokról belső képet. Ez segít a részt vevő szereplőknek mérlegelni, hogy tevékenységeik eredményesen járulnak-e a hozzá a hálózat célkitűzéseinek eléréséhez. Ezzel szemben a külső értékelést hasonló szándékkal, de független külső nézőpontból hajtják végre. A külső értékelés további tanulságokkal szolgál az NVH tervezésének, beavatkozásainak és azok megvalósításának javítására vonatkozóan. </w:t>
      </w:r>
    </w:p>
    <w:p w:rsidR="00170A1A" w:rsidRPr="00BB2924" w:rsidRDefault="00170A1A" w:rsidP="001B43DA">
      <w:pPr>
        <w:pStyle w:val="HStandard"/>
        <w:rPr>
          <w:highlight w:val="yellow"/>
        </w:rPr>
      </w:pPr>
      <w:r>
        <w:rPr>
          <w:highlight w:val="yellow"/>
        </w:rPr>
        <w:t xml:space="preserve">Az </w:t>
      </w:r>
      <w:r>
        <w:rPr>
          <w:b/>
          <w:highlight w:val="yellow"/>
        </w:rPr>
        <w:t>önértékelés kapcsolódhat – és kapcsolódnia kell – az NVH-k értékeléséhez,</w:t>
      </w:r>
      <w:r>
        <w:rPr>
          <w:highlight w:val="yellow"/>
        </w:rPr>
        <w:t xml:space="preserve"> hogy az összegyűjtött bizonyítékokat lehetséges információforrásként lehessen felhasználni az NVH-k hatékonyságának, eredményességének, eredményeinek és hatásainak értékeléséhez. Az NVH önértékelése és az NVH-k értékelése között megfelelően kialakított kapcsolatok és ezek egymást kiegészítő jellege hozzájárul mindkét eljárás költségeinek csökkentéséhez. Ehhez azonban több szereplő – a HTE/NVH, a program irányító hatósága és az értékelő (</w:t>
      </w:r>
      <w:r w:rsidRPr="00BB2924">
        <w:rPr>
          <w:highlight w:val="yellow"/>
        </w:rPr>
        <w:fldChar w:fldCharType="begin" w:fldLock="1"/>
      </w:r>
      <w:r w:rsidRPr="00BB2924">
        <w:rPr>
          <w:highlight w:val="yellow"/>
        </w:rPr>
        <w:instrText xml:space="preserve"> REF _Ref451784251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3</w:t>
      </w:r>
      <w:r w:rsidRPr="00BB2924">
        <w:rPr>
          <w:highlight w:val="yellow"/>
        </w:rPr>
        <w:fldChar w:fldCharType="end"/>
      </w:r>
      <w:r>
        <w:rPr>
          <w:highlight w:val="yellow"/>
        </w:rPr>
        <w:t>) – koordinációs tevékenysége és együttműködése szükséges.</w:t>
      </w:r>
    </w:p>
    <w:p w:rsidR="00170A1A" w:rsidRPr="00BB2924" w:rsidRDefault="00170A1A">
      <w:pPr>
        <w:spacing w:after="0" w:line="240" w:lineRule="auto"/>
        <w:rPr>
          <w:rFonts w:cs="Arial"/>
          <w:b/>
          <w:color w:val="576C88" w:themeColor="text2" w:themeTint="D9"/>
          <w:sz w:val="16"/>
          <w:szCs w:val="20"/>
          <w:highlight w:val="yellow"/>
        </w:rPr>
      </w:pPr>
      <w:bookmarkStart w:id="10" w:name="_Toc390439646"/>
      <w:bookmarkStart w:id="11" w:name="_Ref434411589"/>
      <w:bookmarkStart w:id="12" w:name="_Ref435789100"/>
      <w:bookmarkStart w:id="13" w:name="_Toc436383141"/>
      <w:bookmarkStart w:id="14" w:name="_Toc445465118"/>
      <w:bookmarkStart w:id="15" w:name="_Ref451784251"/>
      <w:bookmarkStart w:id="16" w:name="_Ref451784253"/>
      <w:bookmarkStart w:id="17" w:name="_Ref451784254"/>
      <w:r>
        <w:br w:type="page"/>
      </w:r>
    </w:p>
    <w:p w:rsidR="00170A1A" w:rsidRPr="00BB2924" w:rsidRDefault="00170A1A" w:rsidP="00EF2430">
      <w:pPr>
        <w:pStyle w:val="HHeadingfigures"/>
        <w:rPr>
          <w:highlight w:val="yellow"/>
        </w:rPr>
      </w:pPr>
      <w:bookmarkStart w:id="18" w:name="_Toc464410807"/>
      <w:r>
        <w:rPr>
          <w:highlight w:val="yellow"/>
        </w:rPr>
        <w:lastRenderedPageBreak/>
        <w:t>Az önértékelés és az NVH-k értékelésének összehasonlítása</w:t>
      </w:r>
      <w:bookmarkEnd w:id="10"/>
      <w:bookmarkEnd w:id="11"/>
      <w:bookmarkEnd w:id="12"/>
      <w:bookmarkEnd w:id="13"/>
      <w:bookmarkEnd w:id="14"/>
      <w:bookmarkEnd w:id="15"/>
      <w:bookmarkEnd w:id="16"/>
      <w:bookmarkEnd w:id="17"/>
      <w:bookmarkEnd w:id="18"/>
    </w:p>
    <w:p w:rsidR="00170A1A" w:rsidRPr="00BB2924" w:rsidRDefault="00170A1A" w:rsidP="00240358">
      <w:pPr>
        <w:pStyle w:val="HStandard"/>
        <w:jc w:val="center"/>
        <w:rPr>
          <w:highlight w:val="yellow"/>
        </w:rPr>
      </w:pPr>
      <w:r w:rsidRPr="001352C0">
        <w:rPr>
          <w:noProof/>
          <w:lang w:val="en-GB" w:eastAsia="en-GB"/>
        </w:rPr>
        <w:drawing>
          <wp:inline distT="0" distB="0" distL="0" distR="0" wp14:anchorId="601C6E44" wp14:editId="21A4DFA2">
            <wp:extent cx="5731510" cy="3646026"/>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646026"/>
                    </a:xfrm>
                    <a:prstGeom prst="rect">
                      <a:avLst/>
                    </a:prstGeom>
                    <a:noFill/>
                    <a:ln>
                      <a:noFill/>
                    </a:ln>
                  </pic:spPr>
                </pic:pic>
              </a:graphicData>
            </a:graphic>
          </wp:inline>
        </w:drawing>
      </w:r>
    </w:p>
    <w:p w:rsidR="00170A1A" w:rsidRPr="00BB2924" w:rsidRDefault="00170A1A" w:rsidP="00C71F5E">
      <w:pPr>
        <w:pStyle w:val="HSource"/>
        <w:rPr>
          <w:rFonts w:cs="Arial"/>
          <w:highlight w:val="yellow"/>
        </w:rPr>
      </w:pPr>
      <w:bookmarkStart w:id="19" w:name="_Toc260776799"/>
      <w:bookmarkStart w:id="20" w:name="_Toc262890482"/>
      <w:bookmarkStart w:id="21" w:name="_Toc263960909"/>
      <w:bookmarkStart w:id="22" w:name="_Toc264576620"/>
      <w:bookmarkStart w:id="23" w:name="_Toc267576419"/>
      <w:bookmarkStart w:id="24" w:name="_Toc267576747"/>
      <w:r>
        <w:rPr>
          <w:highlight w:val="yellow"/>
        </w:rPr>
        <w:t>Forrás: Európai vidékfejlesztési értékelési támogató szolgálat, 2016</w:t>
      </w:r>
    </w:p>
    <w:bookmarkEnd w:id="19"/>
    <w:bookmarkEnd w:id="20"/>
    <w:bookmarkEnd w:id="21"/>
    <w:bookmarkEnd w:id="22"/>
    <w:bookmarkEnd w:id="23"/>
    <w:bookmarkEnd w:id="24"/>
    <w:p w:rsidR="00170A1A" w:rsidRPr="00BB2924" w:rsidRDefault="00170A1A" w:rsidP="00FF5B4F">
      <w:pPr>
        <w:pStyle w:val="HStandard"/>
        <w:rPr>
          <w:highlight w:val="yellow"/>
        </w:rPr>
      </w:pPr>
      <w:r>
        <w:rPr>
          <w:highlight w:val="yellow"/>
        </w:rPr>
        <w:t xml:space="preserve">Ahhoz, hogy az önértékelést hatékony és pontos belső visszajelzést nyújtó tanulási eszközként használhassák, a szereplők dönthetnek úgy, hogy az NVH önértékelését belefoglalják a cselekvési tervbe vagy a kapacitásépítési tervbe. Az önértékelő tevékenységek előretekintő tervezését az NVH végrehajtásának korai szakaszában érdemes elkezdeni. </w:t>
      </w:r>
    </w:p>
    <w:p w:rsidR="00170A1A" w:rsidRPr="00BB2924" w:rsidRDefault="00170A1A" w:rsidP="009D73B8">
      <w:pPr>
        <w:pStyle w:val="HStandard"/>
        <w:rPr>
          <w:highlight w:val="yellow"/>
        </w:rPr>
      </w:pPr>
      <w:r>
        <w:rPr>
          <w:highlight w:val="yellow"/>
        </w:rPr>
        <w:t xml:space="preserve">Az önértékelés gyakran épül fel tevékenységek folyamatos ciklusából úgy, hogy a különböző szakaszokban különböző szereplők vesznek részt. A bizonyítékok összegyűjtésére általában kvalitatív módszereket használnak, ideértve az alábbiakat: </w:t>
      </w:r>
    </w:p>
    <w:p w:rsidR="00170A1A" w:rsidRPr="00BB2924" w:rsidRDefault="00170A1A" w:rsidP="009D73B8">
      <w:pPr>
        <w:pStyle w:val="Hlistbullet"/>
        <w:rPr>
          <w:highlight w:val="yellow"/>
        </w:rPr>
      </w:pPr>
      <w:r>
        <w:rPr>
          <w:highlight w:val="yellow"/>
        </w:rPr>
        <w:t xml:space="preserve">az érdekeltekkel tartott találkozók; </w:t>
      </w:r>
    </w:p>
    <w:p w:rsidR="00170A1A" w:rsidRPr="00BB2924" w:rsidRDefault="00170A1A" w:rsidP="009D73B8">
      <w:pPr>
        <w:pStyle w:val="Hlistbullet"/>
        <w:rPr>
          <w:highlight w:val="yellow"/>
        </w:rPr>
      </w:pPr>
      <w:r>
        <w:rPr>
          <w:highlight w:val="yellow"/>
        </w:rPr>
        <w:t xml:space="preserve">civil szervezetek és lakossági testületek; </w:t>
      </w:r>
    </w:p>
    <w:p w:rsidR="00170A1A" w:rsidRPr="00BB2924" w:rsidRDefault="00170A1A" w:rsidP="009D73B8">
      <w:pPr>
        <w:pStyle w:val="Hlistbullet"/>
        <w:rPr>
          <w:highlight w:val="yellow"/>
        </w:rPr>
      </w:pPr>
      <w:r>
        <w:rPr>
          <w:highlight w:val="yellow"/>
        </w:rPr>
        <w:t xml:space="preserve">fókuszcsoportok; </w:t>
      </w:r>
    </w:p>
    <w:p w:rsidR="00170A1A" w:rsidRPr="00BB2924" w:rsidRDefault="00170A1A" w:rsidP="009D73B8">
      <w:pPr>
        <w:pStyle w:val="Hlistbullet"/>
        <w:rPr>
          <w:highlight w:val="yellow"/>
        </w:rPr>
      </w:pPr>
      <w:r>
        <w:rPr>
          <w:highlight w:val="yellow"/>
        </w:rPr>
        <w:t xml:space="preserve">a „nyitott tér” módszere; </w:t>
      </w:r>
    </w:p>
    <w:p w:rsidR="00170A1A" w:rsidRPr="00BB2924" w:rsidRDefault="00170A1A" w:rsidP="009D73B8">
      <w:pPr>
        <w:pStyle w:val="Hlistbullet"/>
        <w:rPr>
          <w:highlight w:val="yellow"/>
        </w:rPr>
      </w:pPr>
      <w:r>
        <w:rPr>
          <w:highlight w:val="yellow"/>
        </w:rPr>
        <w:t>a tevékenységekre vonatkozó visszajelző felmérések;</w:t>
      </w:r>
    </w:p>
    <w:p w:rsidR="00170A1A" w:rsidRPr="00BB2924" w:rsidRDefault="00170A1A" w:rsidP="009D73B8">
      <w:pPr>
        <w:pStyle w:val="Hlistbullet2"/>
        <w:rPr>
          <w:highlight w:val="yellow"/>
        </w:rPr>
      </w:pPr>
      <w:r>
        <w:rPr>
          <w:highlight w:val="yellow"/>
        </w:rPr>
        <w:t xml:space="preserve">szükségletek értékelése felmérések stb. alapján. </w:t>
      </w:r>
    </w:p>
    <w:p w:rsidR="00170A1A" w:rsidRPr="00BB2924" w:rsidRDefault="00170A1A" w:rsidP="009D73B8">
      <w:pPr>
        <w:pStyle w:val="HStandard"/>
        <w:rPr>
          <w:highlight w:val="yellow"/>
        </w:rPr>
      </w:pPr>
      <w:r>
        <w:rPr>
          <w:highlight w:val="yellow"/>
        </w:rPr>
        <w:t>Fontos, hogy olyan módszertant válasszanak és adaptáljanak, amelyet kifejezetten a hálózatok értékelésére dolgoztak ki és teszteltek</w:t>
      </w:r>
      <w:r>
        <w:rPr>
          <w:rFonts w:ascii="ZWAdobeF" w:hAnsi="ZWAdobeF"/>
          <w:color w:val="auto"/>
          <w:sz w:val="2"/>
          <w:szCs w:val="2"/>
          <w:highlight w:val="yellow"/>
        </w:rPr>
        <w:t>23F</w:t>
      </w:r>
      <w:r w:rsidRPr="00BB2924">
        <w:rPr>
          <w:rStyle w:val="FootnoteReference"/>
          <w:highlight w:val="yellow"/>
        </w:rPr>
        <w:footnoteReference w:id="24"/>
      </w:r>
      <w:r>
        <w:rPr>
          <w:highlight w:val="yellow"/>
        </w:rPr>
        <w:t xml:space="preserve">. Az önértékeléshez biztosítani kell a szükséges erőforrásokat és időt, annak eredményeit pedig be kell építeni az NVH-ra vonatkozó cselekvési tervbe és műveletekbe. </w:t>
      </w:r>
    </w:p>
    <w:p w:rsidR="00170A1A" w:rsidRPr="00BB2924" w:rsidRDefault="00170A1A" w:rsidP="003A1D3C">
      <w:pPr>
        <w:pStyle w:val="HStandard"/>
        <w:rPr>
          <w:highlight w:val="yellow"/>
        </w:rPr>
      </w:pPr>
      <w:r>
        <w:rPr>
          <w:highlight w:val="yellow"/>
        </w:rPr>
        <w:t>Az EVH honlapján</w:t>
      </w:r>
      <w:r>
        <w:rPr>
          <w:rFonts w:ascii="ZWAdobeF" w:hAnsi="ZWAdobeF"/>
          <w:color w:val="auto"/>
          <w:sz w:val="2"/>
          <w:szCs w:val="2"/>
          <w:highlight w:val="yellow"/>
        </w:rPr>
        <w:t>24F</w:t>
      </w:r>
      <w:r w:rsidRPr="00BB2924">
        <w:rPr>
          <w:rStyle w:val="FootnoteReference"/>
          <w:highlight w:val="yellow"/>
        </w:rPr>
        <w:footnoteReference w:id="25"/>
      </w:r>
      <w:r>
        <w:rPr>
          <w:highlight w:val="yellow"/>
        </w:rPr>
        <w:t xml:space="preserve"> további információ található az önértékelés eszközeiről és módszereiről. </w:t>
      </w:r>
    </w:p>
    <w:p w:rsidR="00170A1A" w:rsidRPr="00BB2924" w:rsidRDefault="00170A1A" w:rsidP="00680DA9">
      <w:pPr>
        <w:pStyle w:val="HHeading2"/>
        <w:rPr>
          <w:highlight w:val="yellow"/>
        </w:rPr>
      </w:pPr>
      <w:bookmarkStart w:id="25" w:name="_Toc464410781"/>
      <w:r>
        <w:rPr>
          <w:highlight w:val="yellow"/>
        </w:rPr>
        <w:lastRenderedPageBreak/>
        <w:t>Az Európai Unió vidékfejlesztési politikája keretében végrehajtott NVH-értékelés követelményei</w:t>
      </w:r>
      <w:bookmarkEnd w:id="25"/>
    </w:p>
    <w:p w:rsidR="00170A1A" w:rsidRPr="00BB2924" w:rsidRDefault="00170A1A" w:rsidP="00680DA9">
      <w:pPr>
        <w:pStyle w:val="HHeading3"/>
        <w:rPr>
          <w:highlight w:val="yellow"/>
        </w:rPr>
      </w:pPr>
      <w:bookmarkStart w:id="26" w:name="_Toc464410782"/>
      <w:r>
        <w:rPr>
          <w:highlight w:val="yellow"/>
        </w:rPr>
        <w:t>Az értékelésre és jelentéskészítésre vonatkozó jogszabályi előírások ütemterve</w:t>
      </w:r>
      <w:bookmarkEnd w:id="26"/>
    </w:p>
    <w:p w:rsidR="00170A1A" w:rsidRPr="00BB2924" w:rsidRDefault="00170A1A" w:rsidP="00923616">
      <w:pPr>
        <w:pStyle w:val="HStandard"/>
        <w:rPr>
          <w:highlight w:val="yellow"/>
        </w:rPr>
      </w:pPr>
      <w:r>
        <w:rPr>
          <w:b/>
          <w:highlight w:val="yellow"/>
        </w:rPr>
        <w:t>Az Európai Unió jogi kerete</w:t>
      </w:r>
      <w:r>
        <w:rPr>
          <w:rFonts w:ascii="ZWAdobeF" w:hAnsi="ZWAdobeF"/>
          <w:color w:val="auto"/>
          <w:sz w:val="2"/>
          <w:szCs w:val="2"/>
          <w:highlight w:val="yellow"/>
        </w:rPr>
        <w:t>25F</w:t>
      </w:r>
      <w:r w:rsidRPr="00BB2924">
        <w:rPr>
          <w:rStyle w:val="FootnoteReference"/>
          <w:highlight w:val="yellow"/>
        </w:rPr>
        <w:footnoteReference w:id="26"/>
      </w:r>
      <w:r>
        <w:rPr>
          <w:b/>
          <w:highlight w:val="yellow"/>
        </w:rPr>
        <w:t xml:space="preserve"> szerint az NVH értékelését</w:t>
      </w:r>
      <w:r>
        <w:rPr>
          <w:highlight w:val="yellow"/>
        </w:rPr>
        <w:t xml:space="preserve"> a VFP-értékelés részeként kell végrehajtani, amennyiben az NVH a program részét képezte, az NVHP-k esetén pedig önálló értékelést kell készíteni. Az értékelésekkel kapcsolatos információkat a teljes programozási időszak során jelenteni kell.</w:t>
      </w:r>
    </w:p>
    <w:p w:rsidR="00170A1A" w:rsidRPr="00BB2924" w:rsidRDefault="00170A1A" w:rsidP="008F4DBD">
      <w:pPr>
        <w:pStyle w:val="HHeadingfigures"/>
        <w:rPr>
          <w:highlight w:val="yellow"/>
        </w:rPr>
      </w:pPr>
      <w:bookmarkStart w:id="27" w:name="_Toc445465119"/>
      <w:bookmarkStart w:id="28" w:name="_Toc464410808"/>
      <w:r>
        <w:rPr>
          <w:highlight w:val="yellow"/>
        </w:rPr>
        <w:t>Az NVH-k értékelésére vonatkozó jelentéskészítés ütemterve</w:t>
      </w:r>
      <w:bookmarkEnd w:id="27"/>
      <w:bookmarkEnd w:id="28"/>
      <w:r>
        <w:rPr>
          <w:highlight w:val="yellow"/>
        </w:rPr>
        <w:t xml:space="preserve"> </w:t>
      </w:r>
    </w:p>
    <w:p w:rsidR="00170A1A" w:rsidRPr="00BB2924" w:rsidRDefault="00170A1A" w:rsidP="008F4DBD">
      <w:pPr>
        <w:pStyle w:val="HStandard"/>
        <w:rPr>
          <w:highlight w:val="yellow"/>
        </w:rPr>
      </w:pPr>
      <w:r w:rsidRPr="001352C0">
        <w:rPr>
          <w:noProof/>
          <w:lang w:val="en-GB" w:eastAsia="en-GB"/>
        </w:rPr>
        <w:drawing>
          <wp:inline distT="0" distB="0" distL="0" distR="0" wp14:anchorId="3593B8B6" wp14:editId="29651924">
            <wp:extent cx="5731510" cy="1546713"/>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1546713"/>
                    </a:xfrm>
                    <a:prstGeom prst="rect">
                      <a:avLst/>
                    </a:prstGeom>
                    <a:noFill/>
                    <a:ln>
                      <a:noFill/>
                    </a:ln>
                  </pic:spPr>
                </pic:pic>
              </a:graphicData>
            </a:graphic>
          </wp:inline>
        </w:drawing>
      </w:r>
    </w:p>
    <w:p w:rsidR="00170A1A" w:rsidRPr="00BB2924" w:rsidRDefault="00170A1A" w:rsidP="008F4DBD">
      <w:pPr>
        <w:pStyle w:val="HSource"/>
        <w:rPr>
          <w:highlight w:val="yellow"/>
        </w:rPr>
      </w:pPr>
      <w:r>
        <w:rPr>
          <w:highlight w:val="yellow"/>
        </w:rPr>
        <w:t>Forrás: Európai vidékfejlesztési értékelési támogató szolgálat, 2016</w:t>
      </w:r>
    </w:p>
    <w:p w:rsidR="00170A1A" w:rsidRPr="00BB2924" w:rsidRDefault="00170A1A" w:rsidP="006D3475">
      <w:pPr>
        <w:pStyle w:val="HHeading5"/>
        <w:rPr>
          <w:highlight w:val="yellow"/>
        </w:rPr>
      </w:pPr>
      <w:r>
        <w:rPr>
          <w:highlight w:val="yellow"/>
        </w:rPr>
        <w:t>Az NVH(P) értékelésére vonatkozó jelentéstétel az éves végrehajtási jelentések keretében</w:t>
      </w:r>
    </w:p>
    <w:p w:rsidR="00170A1A" w:rsidRPr="00BB2924" w:rsidRDefault="00170A1A" w:rsidP="00923616">
      <w:pPr>
        <w:pStyle w:val="HStandard"/>
        <w:rPr>
          <w:highlight w:val="yellow"/>
        </w:rPr>
      </w:pPr>
      <w:r>
        <w:rPr>
          <w:highlight w:val="yellow"/>
        </w:rPr>
        <w:t>Az éves végrehajtási jelentéseknek (mind a VFP, mind az NVHP esetében) tartalmaznia kell az értékelési terv megvalósításában elért előrehaladásra vonatkozó információkat</w:t>
      </w:r>
      <w:r>
        <w:rPr>
          <w:rFonts w:ascii="ZWAdobeF" w:hAnsi="ZWAdobeF"/>
          <w:color w:val="auto"/>
          <w:sz w:val="2"/>
          <w:szCs w:val="2"/>
          <w:highlight w:val="yellow"/>
        </w:rPr>
        <w:t>26F</w:t>
      </w:r>
      <w:r w:rsidRPr="00BB2924">
        <w:rPr>
          <w:rStyle w:val="FootnoteReference"/>
          <w:highlight w:val="yellow"/>
        </w:rPr>
        <w:footnoteReference w:id="27"/>
      </w:r>
      <w:r>
        <w:rPr>
          <w:highlight w:val="yellow"/>
        </w:rPr>
        <w:t xml:space="preserve">, ideértve a vállalt értékelési tevékenységeket, a végrehajtott értékelések felsorolását és összegzését, valamint az értékelés megállapításaival és eredményeivel kapcsolatos kommunikációs és nyomon követési tevékenységek ismertetését. A VFP részeként létrehozott NVH-kra vonatkozó jelentés az adott évben az NVH értékelésével kapcsolatosan elért eredményekre összpontosít (például az adott NVH-ra vonatkozó konkrét értékelési tevékenységekre, az értékelés megállapításaival kapcsolatos tájékoztatásra és a nyomon követésre), míg az NVHP esetében minden felsorolt elemet jelenteni kell évente. </w:t>
      </w:r>
    </w:p>
    <w:p w:rsidR="00170A1A" w:rsidRPr="00BB2924" w:rsidRDefault="00170A1A" w:rsidP="006D3475">
      <w:pPr>
        <w:pStyle w:val="HHeading5"/>
        <w:rPr>
          <w:highlight w:val="yellow"/>
        </w:rPr>
      </w:pPr>
      <w:r>
        <w:rPr>
          <w:highlight w:val="yellow"/>
        </w:rPr>
        <w:t>Az NVH(P)-értékelésre vonatkozó jelentéstétel a 2017-es és 2019-es éves végrehajtási jelentések keretében</w:t>
      </w:r>
    </w:p>
    <w:p w:rsidR="00170A1A" w:rsidRPr="00BB2924" w:rsidRDefault="00170A1A" w:rsidP="00923616">
      <w:pPr>
        <w:pStyle w:val="HStandard"/>
        <w:rPr>
          <w:highlight w:val="yellow"/>
        </w:rPr>
      </w:pPr>
      <w:r>
        <w:rPr>
          <w:highlight w:val="yellow"/>
        </w:rPr>
        <w:t>A 2017-ben és 2019-en benyújtandó bővített éves végrehajtási jelentésnek tartalmaznia kell a VFP terén elért előrehaladással kapcsolatos információkat és a program célkitűzései tekintetében elért eredmények számszerűsítését</w:t>
      </w:r>
      <w:r>
        <w:rPr>
          <w:rFonts w:ascii="ZWAdobeF" w:hAnsi="ZWAdobeF"/>
          <w:color w:val="auto"/>
          <w:sz w:val="2"/>
          <w:szCs w:val="2"/>
          <w:highlight w:val="yellow"/>
        </w:rPr>
        <w:t>27F</w:t>
      </w:r>
      <w:r w:rsidRPr="00BB2924">
        <w:rPr>
          <w:rStyle w:val="FootnoteReference"/>
          <w:highlight w:val="yellow"/>
        </w:rPr>
        <w:footnoteReference w:id="28"/>
      </w:r>
      <w:r>
        <w:rPr>
          <w:highlight w:val="yellow"/>
        </w:rPr>
        <w:t>. Az NVH-k értékelése tekintetében a „Milyen mértékben járult hozzá a nemzeti vidékfejlesztési hálózat az 1305/2013/EU európai parlamenti és tanácsi rendelet 54. cikkének (2) bekezdésében meghatározott célkitűzésekhez?” általános kérdést már 2017-ben meg kell válaszolni a közös kimeneti mutatók felhasználásával a VFP keretében végrehajtott NVH-k, valamint az NVHP-k esetében</w:t>
      </w:r>
      <w:r>
        <w:rPr>
          <w:rFonts w:ascii="ZWAdobeF" w:hAnsi="ZWAdobeF"/>
          <w:color w:val="auto"/>
          <w:sz w:val="2"/>
          <w:szCs w:val="2"/>
          <w:highlight w:val="yellow"/>
        </w:rPr>
        <w:t>28F</w:t>
      </w:r>
      <w:r w:rsidRPr="00BB2924">
        <w:rPr>
          <w:rStyle w:val="FootnoteReference"/>
          <w:highlight w:val="yellow"/>
        </w:rPr>
        <w:footnoteReference w:id="29"/>
      </w:r>
      <w:r>
        <w:rPr>
          <w:highlight w:val="yellow"/>
        </w:rPr>
        <w:t xml:space="preserve">. </w:t>
      </w:r>
    </w:p>
    <w:p w:rsidR="00170A1A" w:rsidRPr="00BB2924" w:rsidRDefault="00170A1A" w:rsidP="00745022">
      <w:pPr>
        <w:pStyle w:val="HStandard"/>
        <w:rPr>
          <w:highlight w:val="yellow"/>
        </w:rPr>
      </w:pPr>
      <w:r>
        <w:rPr>
          <w:highlight w:val="yellow"/>
        </w:rPr>
        <w:t xml:space="preserve">A 2017-ben és 2019-ben benyújtott éves végrehajtási jelentéseknek tájékoztatást kell nyújtaniuk </w:t>
      </w:r>
      <w:r>
        <w:rPr>
          <w:b/>
          <w:highlight w:val="yellow"/>
        </w:rPr>
        <w:t>az NVH-val kapcsolatos minden programspecifikus elem használatáról</w:t>
      </w:r>
      <w:r>
        <w:rPr>
          <w:highlight w:val="yellow"/>
        </w:rPr>
        <w:t xml:space="preserve">, és – amennyiben lehetséges – információt kell szolgáltatniuk </w:t>
      </w:r>
      <w:r>
        <w:rPr>
          <w:b/>
          <w:highlight w:val="yellow"/>
        </w:rPr>
        <w:t xml:space="preserve">az NVH-val kapcsolatos programspecifikus mutatók értékelési </w:t>
      </w:r>
      <w:r>
        <w:rPr>
          <w:b/>
          <w:highlight w:val="yellow"/>
        </w:rPr>
        <w:lastRenderedPageBreak/>
        <w:t>eredményeiről,</w:t>
      </w:r>
      <w:r>
        <w:rPr>
          <w:highlight w:val="yellow"/>
        </w:rPr>
        <w:t xml:space="preserve"> továbbá meg kell válaszolniuk </w:t>
      </w:r>
      <w:r>
        <w:rPr>
          <w:b/>
          <w:highlight w:val="yellow"/>
        </w:rPr>
        <w:t>az NVH-ra vonatkozó programspecifikus értékelési kérdéseket</w:t>
      </w:r>
      <w:r>
        <w:rPr>
          <w:highlight w:val="yellow"/>
        </w:rPr>
        <w:t xml:space="preserve">. </w:t>
      </w:r>
    </w:p>
    <w:p w:rsidR="00170A1A" w:rsidRPr="00BB2924" w:rsidRDefault="00170A1A" w:rsidP="006D3475">
      <w:pPr>
        <w:pStyle w:val="HHeading5"/>
        <w:rPr>
          <w:highlight w:val="yellow"/>
        </w:rPr>
      </w:pPr>
      <w:r>
        <w:rPr>
          <w:highlight w:val="yellow"/>
        </w:rPr>
        <w:t>Az NVH(P)-értékelésre vonatkozó jelentéstétel a partnerségi megállapodás végrehajtásáról szóló előrehaladási jelentés keretében</w:t>
      </w:r>
    </w:p>
    <w:p w:rsidR="00170A1A" w:rsidRPr="00BB2924" w:rsidRDefault="00170A1A" w:rsidP="00923616">
      <w:pPr>
        <w:pStyle w:val="HStandard"/>
        <w:rPr>
          <w:highlight w:val="yellow"/>
        </w:rPr>
      </w:pPr>
      <w:r>
        <w:rPr>
          <w:highlight w:val="yellow"/>
        </w:rPr>
        <w:t>A tagállamok 2017. és 2019. augusztus 31-éig kötelesek előrehaladási jelentést benyújtani a Bizottságnak a partnerségi megállapodás végrehajtásáról</w:t>
      </w:r>
      <w:r>
        <w:rPr>
          <w:rFonts w:ascii="ZWAdobeF" w:hAnsi="ZWAdobeF"/>
          <w:color w:val="auto"/>
          <w:sz w:val="2"/>
          <w:szCs w:val="2"/>
          <w:highlight w:val="yellow"/>
        </w:rPr>
        <w:t>29F</w:t>
      </w:r>
      <w:r w:rsidRPr="00BB2924">
        <w:rPr>
          <w:rStyle w:val="FootnoteReference"/>
          <w:highlight w:val="yellow"/>
        </w:rPr>
        <w:footnoteReference w:id="30"/>
      </w:r>
      <w:r>
        <w:rPr>
          <w:highlight w:val="yellow"/>
        </w:rPr>
        <w:t>. A jelentések tájékoztatást nyújtanak az NVH-val kapcsolatos értékelés megállapításairól, amennyiben az NVH értékelése az előrehaladási jelentésben jelentendő szempontokat</w:t>
      </w:r>
      <w:r>
        <w:rPr>
          <w:rFonts w:ascii="ZWAdobeF" w:hAnsi="ZWAdobeF"/>
          <w:color w:val="auto"/>
          <w:sz w:val="2"/>
          <w:szCs w:val="2"/>
          <w:highlight w:val="yellow"/>
        </w:rPr>
        <w:t>30F</w:t>
      </w:r>
      <w:r w:rsidRPr="00BB2924">
        <w:rPr>
          <w:rStyle w:val="FootnoteReference"/>
          <w:highlight w:val="yellow"/>
        </w:rPr>
        <w:footnoteReference w:id="31"/>
      </w:r>
      <w:r>
        <w:rPr>
          <w:highlight w:val="yellow"/>
        </w:rPr>
        <w:t xml:space="preserve"> is tartalmazott, ideértve a partnerek szerepét, a tagállamok hatóságainak az ESB-alapok igazgatásához kapcsolódó kapacitásának javítása érdekében tett intézkedéseket, valamint a kedvezményezettek adminisztratív terheinek csökkentését célzó intézkedéseket és azok eredményét. </w:t>
      </w:r>
    </w:p>
    <w:p w:rsidR="00170A1A" w:rsidRPr="00BB2924" w:rsidRDefault="00170A1A" w:rsidP="006D3475">
      <w:pPr>
        <w:pStyle w:val="HHeading5"/>
        <w:rPr>
          <w:highlight w:val="yellow"/>
        </w:rPr>
      </w:pPr>
      <w:r>
        <w:rPr>
          <w:highlight w:val="yellow"/>
        </w:rPr>
        <w:t>Az NVH(P)-értékelésre vonatkozó jelentéstétel az utólagos értékelés keretében</w:t>
      </w:r>
    </w:p>
    <w:p w:rsidR="00170A1A" w:rsidRPr="00BB2924" w:rsidRDefault="00170A1A" w:rsidP="00923616">
      <w:pPr>
        <w:pStyle w:val="HStandard"/>
        <w:rPr>
          <w:highlight w:val="yellow"/>
        </w:rPr>
      </w:pPr>
      <w:r>
        <w:rPr>
          <w:highlight w:val="yellow"/>
        </w:rPr>
        <w:t>A bővített éves végrehajtási jelentéshez hasonlóan a 2024. december 31-ig benyújtandó utólagos értékelésnek</w:t>
      </w:r>
      <w:r>
        <w:rPr>
          <w:rFonts w:ascii="ZWAdobeF" w:hAnsi="ZWAdobeF"/>
          <w:color w:val="auto"/>
          <w:sz w:val="2"/>
          <w:szCs w:val="2"/>
          <w:highlight w:val="yellow"/>
        </w:rPr>
        <w:t>31F</w:t>
      </w:r>
      <w:r w:rsidRPr="00BB2924">
        <w:rPr>
          <w:rStyle w:val="FootnoteReference"/>
          <w:highlight w:val="yellow"/>
        </w:rPr>
        <w:footnoteReference w:id="32"/>
      </w:r>
      <w:r>
        <w:rPr>
          <w:highlight w:val="yellow"/>
        </w:rPr>
        <w:t xml:space="preserve"> tartalmaznia kell az NVH-k közös értékelési kérdéseire</w:t>
      </w:r>
      <w:r>
        <w:rPr>
          <w:rFonts w:ascii="ZWAdobeF" w:hAnsi="ZWAdobeF"/>
          <w:color w:val="auto"/>
          <w:sz w:val="2"/>
          <w:szCs w:val="2"/>
          <w:highlight w:val="yellow"/>
        </w:rPr>
        <w:t>32F</w:t>
      </w:r>
      <w:r w:rsidRPr="00BB2924">
        <w:rPr>
          <w:rStyle w:val="FootnoteReference"/>
          <w:highlight w:val="yellow"/>
        </w:rPr>
        <w:footnoteReference w:id="33"/>
      </w:r>
      <w:r>
        <w:rPr>
          <w:highlight w:val="yellow"/>
        </w:rPr>
        <w:t xml:space="preserve"> vonatkozó, a közös kimeneti mutatókra épülő válaszokat. Amennyiben a program az NVH-hoz kapcsolódó programspecifikus értékelési kérdéseket és mutatókat (például az NVH-hoz kapcsolódó eredmény- és hatásmutatókat) tartalmaz, meg kell adni az azok értékelésére vonatkozó információkat és a programspecifikus értékelési kérdésekre adott válaszokat.</w:t>
      </w:r>
    </w:p>
    <w:p w:rsidR="00170A1A" w:rsidRPr="00BB2924" w:rsidRDefault="00170A1A" w:rsidP="00680DA9">
      <w:pPr>
        <w:pStyle w:val="HHeading3"/>
        <w:rPr>
          <w:highlight w:val="yellow"/>
        </w:rPr>
      </w:pPr>
      <w:bookmarkStart w:id="29" w:name="_Toc464410783"/>
      <w:r>
        <w:rPr>
          <w:highlight w:val="yellow"/>
        </w:rPr>
        <w:t>Az NVH-k értékelésének központi kérdése: mit kell értékelni?</w:t>
      </w:r>
      <w:bookmarkEnd w:id="29"/>
    </w:p>
    <w:p w:rsidR="00170A1A" w:rsidRPr="00BB2924" w:rsidRDefault="00170A1A" w:rsidP="00240358">
      <w:pPr>
        <w:pStyle w:val="HStandard"/>
        <w:rPr>
          <w:highlight w:val="yellow"/>
        </w:rPr>
      </w:pPr>
      <w:r>
        <w:rPr>
          <w:highlight w:val="yellow"/>
        </w:rPr>
        <w:t xml:space="preserve">Az NVH-kat azzal a céllal hozzák létre, hogy megvalósítsák az </w:t>
      </w:r>
      <w:r>
        <w:rPr>
          <w:b/>
          <w:highlight w:val="yellow"/>
        </w:rPr>
        <w:t>NVH-khoz kapcsolódó célkitűzéseket</w:t>
      </w:r>
      <w:r>
        <w:rPr>
          <w:highlight w:val="yellow"/>
        </w:rPr>
        <w:t xml:space="preserve">, és hozzájáruljanak </w:t>
      </w:r>
      <w:r>
        <w:rPr>
          <w:b/>
          <w:highlight w:val="yellow"/>
        </w:rPr>
        <w:t>az Európai Unió szélesebb körű vidékfejlesztési politikai célkitűzéseinek eléréséhez</w:t>
      </w:r>
      <w:r>
        <w:rPr>
          <w:highlight w:val="yellow"/>
        </w:rPr>
        <w:t xml:space="preserve">. A vidékfejlesztési politika prioritásait és a vidéki térségek szükségleteit célozzák meg (relevancia). </w:t>
      </w:r>
    </w:p>
    <w:p w:rsidR="00170A1A" w:rsidRPr="00BB2924" w:rsidRDefault="00170A1A" w:rsidP="00240358">
      <w:pPr>
        <w:pStyle w:val="HStandard"/>
        <w:rPr>
          <w:highlight w:val="yellow"/>
        </w:rPr>
      </w:pPr>
      <w:r>
        <w:rPr>
          <w:highlight w:val="yellow"/>
        </w:rPr>
        <w:t xml:space="preserve">A fenti célkitűzések </w:t>
      </w:r>
      <w:r>
        <w:rPr>
          <w:b/>
          <w:highlight w:val="yellow"/>
        </w:rPr>
        <w:t>megvalósítása, illetve az azok elérésében történő közreműködés</w:t>
      </w:r>
      <w:r>
        <w:rPr>
          <w:highlight w:val="yellow"/>
        </w:rPr>
        <w:t xml:space="preserve"> érdekében az NVH különböző intézkedések csoportjainak megvalósítása révén alakítja át az erőforrásokat kimenetekké. A kimeneteknek következésképpen megfelelően </w:t>
      </w:r>
      <w:r>
        <w:rPr>
          <w:b/>
          <w:highlight w:val="yellow"/>
        </w:rPr>
        <w:t>hatékony</w:t>
      </w:r>
      <w:r>
        <w:rPr>
          <w:highlight w:val="yellow"/>
        </w:rPr>
        <w:t xml:space="preserve"> módon kell elérniük az NVH-k </w:t>
      </w:r>
      <w:r>
        <w:rPr>
          <w:b/>
          <w:highlight w:val="yellow"/>
        </w:rPr>
        <w:t>eredményeit és hatásait</w:t>
      </w:r>
      <w:r>
        <w:rPr>
          <w:highlight w:val="yellow"/>
        </w:rPr>
        <w:t xml:space="preserve">, és lehetővé kell tenniük az NVH célkitűzéseinek </w:t>
      </w:r>
      <w:r>
        <w:rPr>
          <w:b/>
          <w:highlight w:val="yellow"/>
        </w:rPr>
        <w:t>eredményes</w:t>
      </w:r>
      <w:r>
        <w:rPr>
          <w:highlight w:val="yellow"/>
        </w:rPr>
        <w:t xml:space="preserve"> megvalósítását, valamint hozzá kell járulniuk az Unió vidékfejlesztési politikája célkitűzéseinek eléréséhez. </w:t>
      </w:r>
    </w:p>
    <w:p w:rsidR="00170A1A" w:rsidRPr="00BB2924" w:rsidRDefault="00170A1A" w:rsidP="00240358">
      <w:pPr>
        <w:pStyle w:val="HStandard"/>
        <w:rPr>
          <w:highlight w:val="yellow"/>
        </w:rPr>
      </w:pPr>
      <w:r>
        <w:rPr>
          <w:b/>
          <w:highlight w:val="yellow"/>
        </w:rPr>
        <w:t>Az NVH beavatkozási logikájának sarokköveit az NVH célkitűzései, tevékenységei, kimenetei, eredményei és hatásai alkotják.</w:t>
      </w:r>
      <w:r>
        <w:rPr>
          <w:highlight w:val="yellow"/>
        </w:rPr>
        <w:t xml:space="preserve"> Az NVH beavatkozási logikájának a teljes programozási időszakban meglévő belső és külső összhangja, relevanciája, eredményessége és hatékonysága az NVH sikeres megvalósításának előfeltétele, és ezek a szempontok képezik az NVH-k értékelésének fókuszpontjait is. </w:t>
      </w:r>
    </w:p>
    <w:p w:rsidR="00170A1A" w:rsidRPr="00BB2924" w:rsidRDefault="00170A1A" w:rsidP="003C20E8">
      <w:pPr>
        <w:pStyle w:val="HHeadingfigures"/>
        <w:rPr>
          <w:highlight w:val="yellow"/>
        </w:rPr>
      </w:pPr>
      <w:r>
        <w:br w:type="column"/>
      </w:r>
      <w:bookmarkStart w:id="30" w:name="_Ref451784361"/>
      <w:bookmarkStart w:id="31" w:name="_Ref451784678"/>
      <w:bookmarkStart w:id="32" w:name="_Ref451784699"/>
      <w:bookmarkStart w:id="33" w:name="_Toc464410809"/>
      <w:r>
        <w:rPr>
          <w:highlight w:val="yellow"/>
        </w:rPr>
        <w:lastRenderedPageBreak/>
        <w:t>Az NVH-k értékelésének fókuszpontjai</w:t>
      </w:r>
      <w:bookmarkEnd w:id="30"/>
      <w:bookmarkEnd w:id="31"/>
      <w:bookmarkEnd w:id="32"/>
      <w:bookmarkEnd w:id="33"/>
    </w:p>
    <w:p w:rsidR="00170A1A" w:rsidRPr="00BB2924" w:rsidRDefault="00170A1A" w:rsidP="003C20E8">
      <w:pPr>
        <w:pStyle w:val="HStandard"/>
        <w:jc w:val="center"/>
        <w:rPr>
          <w:highlight w:val="yellow"/>
        </w:rPr>
      </w:pPr>
      <w:r w:rsidRPr="001352C0">
        <w:rPr>
          <w:noProof/>
          <w:lang w:val="en-GB" w:eastAsia="en-GB"/>
        </w:rPr>
        <w:drawing>
          <wp:inline distT="0" distB="0" distL="0" distR="0" wp14:anchorId="227A067F" wp14:editId="3343AA98">
            <wp:extent cx="5110359" cy="39454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09335" cy="3944707"/>
                    </a:xfrm>
                    <a:prstGeom prst="rect">
                      <a:avLst/>
                    </a:prstGeom>
                    <a:noFill/>
                    <a:ln>
                      <a:noFill/>
                    </a:ln>
                  </pic:spPr>
                </pic:pic>
              </a:graphicData>
            </a:graphic>
          </wp:inline>
        </w:drawing>
      </w:r>
    </w:p>
    <w:p w:rsidR="00170A1A" w:rsidRPr="00BB2924" w:rsidRDefault="00170A1A" w:rsidP="003C20E8">
      <w:pPr>
        <w:pStyle w:val="HSource"/>
        <w:rPr>
          <w:highlight w:val="yellow"/>
        </w:rPr>
      </w:pPr>
      <w:r>
        <w:rPr>
          <w:highlight w:val="yellow"/>
        </w:rPr>
        <w:t>Forrás: Európai vidékfejlesztési értékelési támogató szolgálat, 2016</w:t>
      </w:r>
    </w:p>
    <w:p w:rsidR="00170A1A" w:rsidRPr="00BB2924" w:rsidRDefault="00170A1A" w:rsidP="00240358">
      <w:pPr>
        <w:pStyle w:val="HStandard"/>
        <w:rPr>
          <w:highlight w:val="yellow"/>
        </w:rPr>
      </w:pPr>
      <w:r>
        <w:rPr>
          <w:highlight w:val="yellow"/>
        </w:rPr>
        <w:t xml:space="preserve">Az NVH-k értékelésének fókuszpontjait az alábbiakban részletezzük. </w:t>
      </w:r>
    </w:p>
    <w:p w:rsidR="00170A1A" w:rsidRPr="00BB2924" w:rsidRDefault="00170A1A" w:rsidP="00403F21">
      <w:pPr>
        <w:pStyle w:val="HHeading5"/>
        <w:rPr>
          <w:highlight w:val="yellow"/>
        </w:rPr>
      </w:pPr>
      <w:r>
        <w:rPr>
          <w:highlight w:val="yellow"/>
        </w:rPr>
        <w:t xml:space="preserve">Az NVH beavatkozási logikájának belső összhangja és relevanciája </w:t>
      </w:r>
    </w:p>
    <w:p w:rsidR="00170A1A" w:rsidRPr="00BB2924" w:rsidRDefault="00170A1A" w:rsidP="00403F21">
      <w:pPr>
        <w:pStyle w:val="HHeading5"/>
        <w:rPr>
          <w:highlight w:val="yellow"/>
        </w:rPr>
      </w:pPr>
      <w:r>
        <w:rPr>
          <w:color w:val="auto"/>
          <w:highlight w:val="yellow"/>
        </w:rPr>
        <w:t xml:space="preserve">Az NVH célkitűzései </w:t>
      </w:r>
    </w:p>
    <w:p w:rsidR="00170A1A" w:rsidRPr="00BB2924" w:rsidRDefault="00170A1A" w:rsidP="00403F21">
      <w:pPr>
        <w:pStyle w:val="HStandard"/>
        <w:rPr>
          <w:highlight w:val="yellow"/>
        </w:rPr>
      </w:pPr>
      <w:r>
        <w:rPr>
          <w:highlight w:val="yellow"/>
        </w:rPr>
        <w:t>Az NVH(P) beavatkozási logikájának kialakítása az NVH célkitűzéseiből indul ki. A jogi keret négy közös célkitűzést határoz meg az NVH-hoz kapcsolódóan, amelyeket az NVH-k célkitűzéseinek hierarchiájában az NVH-k átfogó célkitűzéseiként javasolnak.</w:t>
      </w:r>
    </w:p>
    <w:p w:rsidR="00170A1A" w:rsidRPr="00BB2924" w:rsidRDefault="00170A1A" w:rsidP="00403F21">
      <w:pPr>
        <w:pStyle w:val="HStandard"/>
        <w:rPr>
          <w:highlight w:val="yellow"/>
        </w:rPr>
      </w:pPr>
      <w:r>
        <w:rPr>
          <w:b/>
          <w:highlight w:val="yellow"/>
        </w:rPr>
        <w:t>Uniós szinten</w:t>
      </w:r>
      <w:r>
        <w:rPr>
          <w:highlight w:val="yellow"/>
        </w:rPr>
        <w:t xml:space="preserve"> az alábbi </w:t>
      </w:r>
      <w:r>
        <w:rPr>
          <w:b/>
          <w:highlight w:val="yellow"/>
        </w:rPr>
        <w:t>politikai célkitűzéseket</w:t>
      </w:r>
      <w:r>
        <w:rPr>
          <w:highlight w:val="yellow"/>
        </w:rPr>
        <w:t xml:space="preserve"> határozzák meg az NVH-kkal kapcsolatosan</w:t>
      </w:r>
      <w:r>
        <w:rPr>
          <w:rFonts w:ascii="ZWAdobeF" w:hAnsi="ZWAdobeF"/>
          <w:color w:val="auto"/>
          <w:sz w:val="2"/>
          <w:szCs w:val="2"/>
          <w:highlight w:val="yellow"/>
        </w:rPr>
        <w:t>33F</w:t>
      </w:r>
      <w:r w:rsidRPr="00BB2924">
        <w:rPr>
          <w:rStyle w:val="FootnoteReference"/>
          <w:highlight w:val="yellow"/>
        </w:rPr>
        <w:footnoteReference w:id="34"/>
      </w:r>
      <w:r>
        <w:rPr>
          <w:highlight w:val="yellow"/>
        </w:rPr>
        <w:t xml:space="preserve">: </w:t>
      </w:r>
    </w:p>
    <w:p w:rsidR="00170A1A" w:rsidRPr="00BB2924" w:rsidRDefault="00170A1A" w:rsidP="00403F21">
      <w:pPr>
        <w:pStyle w:val="Hlistbullet"/>
        <w:rPr>
          <w:highlight w:val="yellow"/>
        </w:rPr>
      </w:pPr>
      <w:r>
        <w:rPr>
          <w:highlight w:val="yellow"/>
        </w:rPr>
        <w:t xml:space="preserve">az érdekelt felek fokozottabb bevonása a vidékfejlesztés végrehajtásába; </w:t>
      </w:r>
    </w:p>
    <w:p w:rsidR="00170A1A" w:rsidRPr="00BB2924" w:rsidRDefault="00170A1A" w:rsidP="00403F21">
      <w:pPr>
        <w:pStyle w:val="Hlistbullet"/>
        <w:rPr>
          <w:highlight w:val="yellow"/>
        </w:rPr>
      </w:pPr>
      <w:r>
        <w:rPr>
          <w:highlight w:val="yellow"/>
        </w:rPr>
        <w:t xml:space="preserve">a vidékfejlesztési programok végrehajtása minőségének javítása; </w:t>
      </w:r>
    </w:p>
    <w:p w:rsidR="00170A1A" w:rsidRPr="00BB2924" w:rsidRDefault="00170A1A" w:rsidP="00403F21">
      <w:pPr>
        <w:pStyle w:val="Hlistbullet"/>
        <w:rPr>
          <w:highlight w:val="yellow"/>
        </w:rPr>
      </w:pPr>
      <w:r>
        <w:rPr>
          <w:highlight w:val="yellow"/>
        </w:rPr>
        <w:t xml:space="preserve">a szélesebb közvéleménynek és a potenciális kedvezményezetteknek a vidékfejlesztési politikáról és a finanszírozási lehetőségekről való tájékoztatása; </w:t>
      </w:r>
    </w:p>
    <w:p w:rsidR="00170A1A" w:rsidRPr="00BB2924" w:rsidRDefault="00170A1A" w:rsidP="00403F21">
      <w:pPr>
        <w:pStyle w:val="Hlistbullet2"/>
        <w:rPr>
          <w:highlight w:val="yellow"/>
        </w:rPr>
      </w:pPr>
      <w:r>
        <w:rPr>
          <w:highlight w:val="yellow"/>
        </w:rPr>
        <w:t>az innováció előmozdítása a mezőgazdaságban, az élelmiszer-termelésben, az erdőgazdálkodásban és a vidéki térségekben.</w:t>
      </w:r>
    </w:p>
    <w:p w:rsidR="00170A1A" w:rsidRPr="00BB2924" w:rsidRDefault="00170A1A" w:rsidP="00403F21">
      <w:pPr>
        <w:pStyle w:val="HStandard"/>
        <w:rPr>
          <w:highlight w:val="yellow"/>
        </w:rPr>
      </w:pPr>
      <w:r>
        <w:rPr>
          <w:highlight w:val="yellow"/>
        </w:rPr>
        <w:t>Az NVH érdekelt felei programspecifikus NVH-célkitűzéseket is meghatározhatnak, ha a program GYELV-elemzése és a szükségletek felmérése olyan konkrét igényeket tárt fel, amelyeket a vidékfejlesztési hálózatoknak kezelniük kell. Az NVH programspecifikus célkitűzései az NVH célkitűzései hierarchiájának egyes szintjein határozhatók meg</w:t>
      </w:r>
      <w:r>
        <w:rPr>
          <w:rFonts w:ascii="ZWAdobeF" w:hAnsi="ZWAdobeF"/>
          <w:color w:val="auto"/>
          <w:sz w:val="2"/>
          <w:szCs w:val="2"/>
          <w:highlight w:val="yellow"/>
        </w:rPr>
        <w:t>34F</w:t>
      </w:r>
      <w:r w:rsidRPr="00BB2924">
        <w:rPr>
          <w:rStyle w:val="FootnoteReference"/>
          <w:highlight w:val="yellow"/>
        </w:rPr>
        <w:footnoteReference w:id="35"/>
      </w:r>
      <w:r>
        <w:rPr>
          <w:highlight w:val="yellow"/>
        </w:rPr>
        <w:t xml:space="preserve">. </w:t>
      </w:r>
    </w:p>
    <w:p w:rsidR="00170A1A" w:rsidRPr="00BB2924" w:rsidRDefault="00170A1A" w:rsidP="00403F21">
      <w:pPr>
        <w:pStyle w:val="HStandard"/>
        <w:rPr>
          <w:highlight w:val="yellow"/>
        </w:rPr>
      </w:pPr>
      <w:r>
        <w:rPr>
          <w:highlight w:val="yellow"/>
        </w:rPr>
        <w:lastRenderedPageBreak/>
        <w:t xml:space="preserve">Az NVH célkitűzéseinek hierarchiájában három szint található: </w:t>
      </w:r>
    </w:p>
    <w:p w:rsidR="00170A1A" w:rsidRPr="00BB2924" w:rsidRDefault="00170A1A" w:rsidP="0088579D">
      <w:pPr>
        <w:pStyle w:val="Hlistbullet"/>
        <w:rPr>
          <w:highlight w:val="yellow"/>
        </w:rPr>
      </w:pPr>
      <w:r>
        <w:rPr>
          <w:b/>
          <w:highlight w:val="yellow"/>
        </w:rPr>
        <w:t>Átfogó NVH-célkitűzések</w:t>
      </w:r>
      <w:r>
        <w:rPr>
          <w:highlight w:val="yellow"/>
        </w:rPr>
        <w:t xml:space="preserve"> (az NVH beavatkozási logikájában az NVH hatásaihoz kapcsolódik): </w:t>
      </w:r>
    </w:p>
    <w:p w:rsidR="00170A1A" w:rsidRPr="00BB2924" w:rsidRDefault="00170A1A" w:rsidP="00892664">
      <w:pPr>
        <w:pStyle w:val="HStandard"/>
        <w:numPr>
          <w:ilvl w:val="1"/>
          <w:numId w:val="14"/>
        </w:numPr>
        <w:ind w:left="1442"/>
        <w:rPr>
          <w:highlight w:val="yellow"/>
        </w:rPr>
      </w:pPr>
      <w:r>
        <w:rPr>
          <w:highlight w:val="yellow"/>
        </w:rPr>
        <w:t xml:space="preserve">a jogi keretben gyökerező és az Unió fent említett szakpolitikai célkitűzéseihez kapcsolódó négy NVH-célkitűzés; </w:t>
      </w:r>
    </w:p>
    <w:p w:rsidR="00170A1A" w:rsidRPr="00BB2924" w:rsidRDefault="00170A1A" w:rsidP="00892664">
      <w:pPr>
        <w:pStyle w:val="HStandard"/>
        <w:numPr>
          <w:ilvl w:val="1"/>
          <w:numId w:val="14"/>
        </w:numPr>
        <w:ind w:left="1442"/>
        <w:rPr>
          <w:highlight w:val="yellow"/>
        </w:rPr>
      </w:pPr>
      <w:r>
        <w:rPr>
          <w:highlight w:val="yellow"/>
        </w:rPr>
        <w:t>a tagállamokban programspecifikus célkitűzésként meghatározott átfogó célkitűzések.</w:t>
      </w:r>
    </w:p>
    <w:p w:rsidR="00170A1A" w:rsidRPr="00BB2924" w:rsidRDefault="00170A1A" w:rsidP="008C47A9">
      <w:pPr>
        <w:pStyle w:val="Hlistbullet"/>
        <w:rPr>
          <w:highlight w:val="yellow"/>
        </w:rPr>
      </w:pPr>
      <w:r>
        <w:rPr>
          <w:highlight w:val="yellow"/>
        </w:rPr>
        <w:t xml:space="preserve">A tagállamban programspecifikusként meghatározott (az NVH beavatkozási logikájában az NVH eredményeihez kapcsolódó) </w:t>
      </w:r>
      <w:r>
        <w:rPr>
          <w:b/>
          <w:highlight w:val="yellow"/>
        </w:rPr>
        <w:t>konkrét NVH-célkitűzések</w:t>
      </w:r>
      <w:r>
        <w:rPr>
          <w:highlight w:val="yellow"/>
        </w:rPr>
        <w:t>, amelyek pontosítják az átfogó célkitűzéseket.</w:t>
      </w:r>
    </w:p>
    <w:p w:rsidR="00170A1A" w:rsidRPr="00BB2924" w:rsidRDefault="00170A1A" w:rsidP="008C47A9">
      <w:pPr>
        <w:pStyle w:val="Hlistbullet2"/>
        <w:rPr>
          <w:highlight w:val="yellow"/>
        </w:rPr>
      </w:pPr>
      <w:r>
        <w:rPr>
          <w:b/>
          <w:highlight w:val="yellow"/>
        </w:rPr>
        <w:t>Az operatív célkitűzések</w:t>
      </w:r>
      <w:r>
        <w:rPr>
          <w:highlight w:val="yellow"/>
        </w:rPr>
        <w:t xml:space="preserve"> az NVH-cselekvésitervek szerinti kimenetekkel összefüggő programspecifikus célkitűzések, amelyek közös és programspecifikus intézkedéscsoportokhoz kapcsolódnak. </w:t>
      </w:r>
    </w:p>
    <w:p w:rsidR="00170A1A" w:rsidRPr="00BB2924" w:rsidRDefault="00170A1A" w:rsidP="00403F21">
      <w:pPr>
        <w:pStyle w:val="HStandard"/>
        <w:rPr>
          <w:highlight w:val="yellow"/>
        </w:rPr>
      </w:pPr>
      <w:r>
        <w:rPr>
          <w:highlight w:val="yellow"/>
        </w:rPr>
        <w:t xml:space="preserve">Az NVH átfogó, konkrét és operatív célkitűzéseinek </w:t>
      </w:r>
      <w:r>
        <w:rPr>
          <w:b/>
          <w:highlight w:val="yellow"/>
        </w:rPr>
        <w:t>relevánsaknak</w:t>
      </w:r>
      <w:r>
        <w:rPr>
          <w:highlight w:val="yellow"/>
        </w:rPr>
        <w:t xml:space="preserve"> kell lenniük a programterület konkrét szükségleteinek megcélzása tekintetében, és teljes mértékben meg kell felelniük a </w:t>
      </w:r>
      <w:r>
        <w:rPr>
          <w:b/>
          <w:highlight w:val="yellow"/>
        </w:rPr>
        <w:t>függőleges konzisztencia</w:t>
      </w:r>
      <w:r>
        <w:rPr>
          <w:highlight w:val="yellow"/>
        </w:rPr>
        <w:t xml:space="preserve"> elvének. Ez azt jelenti, hogy az operatív célkitűzések megvalósításának hozzá kell járulnia a konkrét célkitűzések megvalósításához, a konkrét célkitűzések megvalósításának pedig hozzá kell járulnia az átfogó célkitűzések megvalósításához. </w:t>
      </w:r>
    </w:p>
    <w:p w:rsidR="00170A1A" w:rsidRPr="00BB2924" w:rsidRDefault="00170A1A" w:rsidP="00403F21">
      <w:pPr>
        <w:pStyle w:val="HHeading5"/>
        <w:rPr>
          <w:color w:val="auto"/>
          <w:highlight w:val="yellow"/>
        </w:rPr>
      </w:pPr>
      <w:r>
        <w:rPr>
          <w:color w:val="auto"/>
          <w:highlight w:val="yellow"/>
        </w:rPr>
        <w:t>Az NVH kihatásai (eredmények és hatások)</w:t>
      </w:r>
    </w:p>
    <w:p w:rsidR="00170A1A" w:rsidRPr="00BB2924" w:rsidRDefault="00170A1A" w:rsidP="00403F21">
      <w:pPr>
        <w:pStyle w:val="HStandard"/>
        <w:rPr>
          <w:highlight w:val="yellow"/>
        </w:rPr>
      </w:pPr>
      <w:r>
        <w:rPr>
          <w:highlight w:val="yellow"/>
        </w:rPr>
        <w:t>Az NVH az NVH-cselekvésiterv tevékenységein keresztül, illetve NVHP-k esetén a végrehajtott műveletek útján avatkozik be. A jogi keret</w:t>
      </w:r>
      <w:r>
        <w:rPr>
          <w:rFonts w:ascii="ZWAdobeF" w:hAnsi="ZWAdobeF"/>
          <w:color w:val="auto"/>
          <w:sz w:val="2"/>
          <w:szCs w:val="2"/>
          <w:highlight w:val="yellow"/>
        </w:rPr>
        <w:t>35F</w:t>
      </w:r>
      <w:r w:rsidRPr="00BB2924">
        <w:rPr>
          <w:rStyle w:val="FootnoteReference"/>
          <w:highlight w:val="yellow"/>
        </w:rPr>
        <w:footnoteReference w:id="36"/>
      </w:r>
      <w:r>
        <w:rPr>
          <w:highlight w:val="yellow"/>
        </w:rPr>
        <w:t xml:space="preserve"> meghatározza azt a közös intézkedéscsoportot, amely kiegészíthető a tagállamokban kidolgozott, inkább programspecifikus intézkedésekkel. Noha a nemzeti vidékfejlesztési hálózatok létrehozására és működtetésére vonatkozó iránymutatás 1. melléklete javaslatot tesz az NVH-tevékenységek közös csoportjai és a közös NVH-célkitűzések közötti kapcsolatokra, a tagállamok érdekelt felei saját kapcsolatokat hozhatnak létre az NVH célkitűzései és tevékenységei között az NVH konkrét beavatkozási logikájában. </w:t>
      </w:r>
    </w:p>
    <w:p w:rsidR="00170A1A" w:rsidRPr="00BB2924" w:rsidRDefault="00170A1A" w:rsidP="00403F21">
      <w:pPr>
        <w:pStyle w:val="HStandard"/>
        <w:rPr>
          <w:b/>
          <w:highlight w:val="yellow"/>
        </w:rPr>
      </w:pPr>
      <w:r>
        <w:rPr>
          <w:highlight w:val="yellow"/>
        </w:rPr>
        <w:t>Az NVH tevékenységeiből származó kimenetek alkotják végső soron az NVH eredményeiben és hatásaiban megnyilvánuló kihatásokat.</w:t>
      </w:r>
      <w:r>
        <w:rPr>
          <w:b/>
          <w:highlight w:val="yellow"/>
        </w:rPr>
        <w:t xml:space="preserve"> </w:t>
      </w:r>
      <w:r>
        <w:rPr>
          <w:highlight w:val="yellow"/>
        </w:rPr>
        <w:t xml:space="preserve">Az NVH-kban meghatározott célkitűzések hierarchiájának minden szintje </w:t>
      </w:r>
      <w:r>
        <w:rPr>
          <w:b/>
          <w:highlight w:val="yellow"/>
        </w:rPr>
        <w:t>horizontális konzisztenciát</w:t>
      </w:r>
      <w:r>
        <w:rPr>
          <w:highlight w:val="yellow"/>
        </w:rPr>
        <w:t xml:space="preserve"> kell, hogy mutasson a várt kihatások megfelelő szintjével:</w:t>
      </w:r>
    </w:p>
    <w:p w:rsidR="00170A1A" w:rsidRPr="00BB2924" w:rsidRDefault="00170A1A" w:rsidP="008C47A9">
      <w:pPr>
        <w:pStyle w:val="Hlistbullet"/>
        <w:rPr>
          <w:highlight w:val="yellow"/>
        </w:rPr>
      </w:pPr>
      <w:r>
        <w:rPr>
          <w:highlight w:val="yellow"/>
        </w:rPr>
        <w:t>az operatív célkitűzéseknek a várt kimenetekkel;</w:t>
      </w:r>
    </w:p>
    <w:p w:rsidR="00170A1A" w:rsidRPr="00BB2924" w:rsidRDefault="00170A1A" w:rsidP="008C47A9">
      <w:pPr>
        <w:pStyle w:val="Hlistbullet"/>
        <w:rPr>
          <w:highlight w:val="yellow"/>
        </w:rPr>
      </w:pPr>
      <w:r>
        <w:rPr>
          <w:highlight w:val="yellow"/>
        </w:rPr>
        <w:t>a konkrét célkitűzéseknek a várt eredményekkel;</w:t>
      </w:r>
    </w:p>
    <w:p w:rsidR="00170A1A" w:rsidRPr="00BB2924" w:rsidRDefault="00170A1A" w:rsidP="008C47A9">
      <w:pPr>
        <w:pStyle w:val="Hlistbullet"/>
        <w:rPr>
          <w:highlight w:val="yellow"/>
        </w:rPr>
      </w:pPr>
      <w:r>
        <w:rPr>
          <w:highlight w:val="yellow"/>
        </w:rPr>
        <w:t xml:space="preserve">az átfogó célkitűzéseknek a várt hatásokkal. </w:t>
      </w:r>
    </w:p>
    <w:p w:rsidR="00170A1A" w:rsidRPr="00BB2924" w:rsidRDefault="00170A1A" w:rsidP="00403F21">
      <w:pPr>
        <w:pStyle w:val="HStandard"/>
        <w:ind w:firstLine="1"/>
        <w:rPr>
          <w:highlight w:val="yellow"/>
        </w:rPr>
      </w:pPr>
      <w:r>
        <w:rPr>
          <w:highlight w:val="yellow"/>
        </w:rPr>
        <w:t xml:space="preserve">A helyzet az alábbi ábrával illusztrálható: </w:t>
      </w:r>
    </w:p>
    <w:p w:rsidR="00170A1A" w:rsidRPr="00BB2924" w:rsidRDefault="00170A1A" w:rsidP="00EF2430">
      <w:pPr>
        <w:pStyle w:val="HHeadingfigures"/>
        <w:rPr>
          <w:highlight w:val="yellow"/>
        </w:rPr>
      </w:pPr>
      <w:bookmarkStart w:id="34" w:name="_Toc445465120"/>
      <w:r>
        <w:br w:type="column"/>
      </w:r>
      <w:bookmarkStart w:id="35" w:name="_Ref451784505"/>
      <w:bookmarkStart w:id="36" w:name="_Ref451784593"/>
      <w:bookmarkStart w:id="37" w:name="_Ref451784688"/>
      <w:bookmarkStart w:id="38" w:name="_Toc464410810"/>
      <w:r>
        <w:rPr>
          <w:highlight w:val="yellow"/>
        </w:rPr>
        <w:lastRenderedPageBreak/>
        <w:t>Függőleges és vízszintes konzisztencia az NVH célkitűzései és kihatásai között</w:t>
      </w:r>
      <w:bookmarkEnd w:id="34"/>
      <w:bookmarkEnd w:id="35"/>
      <w:bookmarkEnd w:id="36"/>
      <w:bookmarkEnd w:id="37"/>
      <w:bookmarkEnd w:id="38"/>
    </w:p>
    <w:p w:rsidR="00170A1A" w:rsidRPr="00BB2924" w:rsidRDefault="00170A1A" w:rsidP="008C47A9">
      <w:pPr>
        <w:pStyle w:val="HStandard"/>
        <w:ind w:firstLine="1"/>
        <w:jc w:val="center"/>
        <w:rPr>
          <w:highlight w:val="yellow"/>
        </w:rPr>
      </w:pPr>
      <w:r w:rsidRPr="004F154A">
        <w:rPr>
          <w:noProof/>
          <w:lang w:val="en-GB" w:eastAsia="en-GB"/>
        </w:rPr>
        <w:drawing>
          <wp:inline distT="0" distB="0" distL="0" distR="0" wp14:anchorId="50ADA615" wp14:editId="0EB68ECD">
            <wp:extent cx="4158732" cy="4151037"/>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65515" cy="4157808"/>
                    </a:xfrm>
                    <a:prstGeom prst="rect">
                      <a:avLst/>
                    </a:prstGeom>
                    <a:noFill/>
                    <a:ln>
                      <a:noFill/>
                    </a:ln>
                  </pic:spPr>
                </pic:pic>
              </a:graphicData>
            </a:graphic>
          </wp:inline>
        </w:drawing>
      </w:r>
    </w:p>
    <w:p w:rsidR="00170A1A" w:rsidRPr="00BB2924" w:rsidRDefault="00170A1A" w:rsidP="00403F21">
      <w:pPr>
        <w:pStyle w:val="HSource"/>
        <w:rPr>
          <w:rFonts w:cs="Arial"/>
          <w:highlight w:val="yellow"/>
        </w:rPr>
      </w:pPr>
      <w:r>
        <w:rPr>
          <w:highlight w:val="yellow"/>
        </w:rPr>
        <w:t>Forrás: Európai vidékfejlesztési értékelési támogató szolgálat, 2016</w:t>
      </w:r>
    </w:p>
    <w:p w:rsidR="00170A1A" w:rsidRPr="00BB2924" w:rsidRDefault="00170A1A" w:rsidP="00403F21">
      <w:pPr>
        <w:pStyle w:val="HStandard"/>
        <w:rPr>
          <w:highlight w:val="yellow"/>
        </w:rPr>
      </w:pPr>
      <w:r>
        <w:rPr>
          <w:highlight w:val="yellow"/>
        </w:rPr>
        <w:t xml:space="preserve">Az NVH kihatásai az alábbiak szerint írhatók le: </w:t>
      </w:r>
    </w:p>
    <w:p w:rsidR="00170A1A" w:rsidRPr="00BB2924" w:rsidRDefault="00170A1A" w:rsidP="005368DC">
      <w:pPr>
        <w:pStyle w:val="Hlistbullet2"/>
        <w:rPr>
          <w:highlight w:val="yellow"/>
        </w:rPr>
      </w:pPr>
      <w:r>
        <w:rPr>
          <w:b/>
          <w:highlight w:val="yellow"/>
        </w:rPr>
        <w:t>Az NVH eredményei</w:t>
      </w:r>
      <w:r>
        <w:rPr>
          <w:highlight w:val="yellow"/>
        </w:rPr>
        <w:t xml:space="preserve"> vízszintesen kapcsolódnak az NVH programspecifikusként meghatározott konkrét célkitűzéseihez, és azokat az NVH érdekelt felei fogalmazzák meg az NVH beavatkozási logikája részeként. A várt eredményeket rövid távon az NVH-tevékenységek/-cselekvésitervek kimenetei biztosítják az NVH-tagok csoportjában, és az eredmények a viselkedéssel, gondolkodással, szakértelemmel, teljesítőképességgel stb. kapcsolatos változásokból adódnak. Az NVH eredményei hozzájárulnak a VFP kimeneteihez (lásd </w:t>
      </w:r>
      <w:r w:rsidRPr="00BB2924">
        <w:rPr>
          <w:highlight w:val="yellow"/>
        </w:rPr>
        <w:fldChar w:fldCharType="begin" w:fldLock="1"/>
      </w:r>
      <w:r w:rsidRPr="00BB2924">
        <w:rPr>
          <w:highlight w:val="yellow"/>
        </w:rPr>
        <w:instrText xml:space="preserve"> REF _Ref451784361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5</w:t>
      </w:r>
      <w:r w:rsidRPr="00BB2924">
        <w:rPr>
          <w:highlight w:val="yellow"/>
        </w:rPr>
        <w:fldChar w:fldCharType="end"/>
      </w:r>
      <w:r>
        <w:rPr>
          <w:highlight w:val="yellow"/>
        </w:rPr>
        <w:t xml:space="preserve">). Ha például az NVH-cselekvésitervben sok tevékenység összpontosít a biológiai sokféleséget támogató innovatív gyakorlatok átadására, az NVH-tagok és -kedvezményezettek körében várhatóan nő az innovációval kapcsolatos tudatosság. </w:t>
      </w:r>
    </w:p>
    <w:p w:rsidR="00170A1A" w:rsidRPr="00BB2924" w:rsidRDefault="00170A1A" w:rsidP="005368DC">
      <w:pPr>
        <w:pStyle w:val="Hlistbullet2"/>
        <w:rPr>
          <w:highlight w:val="yellow"/>
        </w:rPr>
      </w:pPr>
      <w:r>
        <w:rPr>
          <w:highlight w:val="yellow"/>
        </w:rPr>
        <w:t xml:space="preserve">Az </w:t>
      </w:r>
      <w:r>
        <w:rPr>
          <w:b/>
          <w:highlight w:val="yellow"/>
        </w:rPr>
        <w:t>NVH hatásai</w:t>
      </w:r>
      <w:r>
        <w:rPr>
          <w:highlight w:val="yellow"/>
        </w:rPr>
        <w:t xml:space="preserve"> az NVH-nak a VFP által érintett területen lévő különböző érdekeltekre vonatkozó kihatásait jelentik. A várt hatások az NVH átfogó/általános célkitűzéseihez kapcsolódnak, és azokat az NVH eredményei hozzák létre hosszú távon. Az NVH hatásai hozzájárulnak a VFP eredményeihez, és a vidékfejlesztésen kívül befolyásolják a humán- és társadalmi tőke területeit is. Az NVH innovatív tevékenységei nyomán a mezőgazdasági termelők például csökkenteni tudják az ammóniakibocsátást. Ezenkívül az NVH tevékenységei révén az érdekeltek jobban bevonhatók a vidékfejlesztésbe, és javíthatók a vidéki térségek kommunikációs tevékenységei is (lásd </w:t>
      </w:r>
      <w:r w:rsidRPr="00BB2924">
        <w:rPr>
          <w:highlight w:val="yellow"/>
        </w:rPr>
        <w:fldChar w:fldCharType="begin" w:fldLock="1"/>
      </w:r>
      <w:r w:rsidRPr="00BB2924">
        <w:rPr>
          <w:highlight w:val="yellow"/>
        </w:rPr>
        <w:instrText xml:space="preserve"> REF _Ref451784376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7</w:t>
      </w:r>
      <w:r w:rsidRPr="00BB2924">
        <w:rPr>
          <w:highlight w:val="yellow"/>
        </w:rPr>
        <w:fldChar w:fldCharType="end"/>
      </w:r>
      <w:r>
        <w:rPr>
          <w:highlight w:val="yellow"/>
        </w:rPr>
        <w:t>).</w:t>
      </w:r>
    </w:p>
    <w:p w:rsidR="00170A1A" w:rsidRPr="00BB2924" w:rsidRDefault="00170A1A" w:rsidP="008C47A9">
      <w:pPr>
        <w:pStyle w:val="HStandard"/>
        <w:rPr>
          <w:highlight w:val="yellow"/>
        </w:rPr>
      </w:pPr>
      <w:r>
        <w:rPr>
          <w:highlight w:val="yellow"/>
        </w:rPr>
        <w:t>Az NVH-nak a humán- és társadalmi tőke területeire kifejtett hatásai (más néven a hálózatok hozzáadott értéke) az NVH tagjai vagy kedvezményezettjei közé tartozó vagy egyéb érdekeltek különféle csoportjainak nyújtott különböző típusú előnyök nagyon széles skáláját képviselik.</w:t>
      </w:r>
      <w:r>
        <w:rPr>
          <w:color w:val="auto"/>
          <w:highlight w:val="yellow"/>
        </w:rPr>
        <w:t xml:space="preserve"> </w:t>
      </w:r>
      <w:r>
        <w:rPr>
          <w:highlight w:val="yellow"/>
        </w:rPr>
        <w:t xml:space="preserve">A humán- és társadalmi tőkére vonatkozó hatások különböző szinteken jelennek meg: </w:t>
      </w:r>
    </w:p>
    <w:p w:rsidR="00170A1A" w:rsidRPr="00BB2924" w:rsidRDefault="00170A1A" w:rsidP="00D866BD">
      <w:pPr>
        <w:pStyle w:val="Hlistbullet2"/>
        <w:rPr>
          <w:highlight w:val="yellow"/>
        </w:rPr>
      </w:pPr>
      <w:r>
        <w:rPr>
          <w:highlight w:val="yellow"/>
        </w:rPr>
        <w:t xml:space="preserve">Az </w:t>
      </w:r>
      <w:r>
        <w:rPr>
          <w:b/>
          <w:highlight w:val="yellow"/>
        </w:rPr>
        <w:t>egyén szintjén</w:t>
      </w:r>
      <w:r>
        <w:rPr>
          <w:highlight w:val="yellow"/>
        </w:rPr>
        <w:t xml:space="preserve"> a hálózatépítési tevékenységbe bevont vagy annak előnyeiben részesülő személyek változtathatnak viselkedésükön vagy bővíthetik az innovációval kapcsolatos </w:t>
      </w:r>
      <w:r>
        <w:rPr>
          <w:highlight w:val="yellow"/>
        </w:rPr>
        <w:lastRenderedPageBreak/>
        <w:t>lehetőségeiket. Javítják a kihívások felismerésére és kezelésére való képességeiket, elsajátítják a vállalkozói szellemet és az értékes dolgok felfedezésének képességét. Emellett új technológiákat sajátítanak el, és azokat ötvözik a helyi hagyományokból eredő tudással, valamint az oktatás vagy szakmai tapasztalatok során szerzett szakértelemmel és jártassággal. Ezáltal egyúttal javul az együttműködési készségük, és szakszerűen lesznek képesek kezelni a kapcsolatokat és interakciókat az egyre inkább a sokféleség jellemezte környezetben.</w:t>
      </w:r>
    </w:p>
    <w:p w:rsidR="00170A1A" w:rsidRPr="00BB2924" w:rsidRDefault="00170A1A" w:rsidP="008C47A9">
      <w:pPr>
        <w:pStyle w:val="Hlistbullet2"/>
        <w:rPr>
          <w:highlight w:val="yellow"/>
        </w:rPr>
      </w:pPr>
      <w:r>
        <w:rPr>
          <w:b/>
          <w:highlight w:val="yellow"/>
        </w:rPr>
        <w:t>Vállalati szinten</w:t>
      </w:r>
      <w:r>
        <w:rPr>
          <w:highlight w:val="yellow"/>
        </w:rPr>
        <w:t xml:space="preserve"> a vállalkozások támogatják az egyéni készségeket, a cégen belüli és cégek közötti együttműködés kultúráját egy olyan összetett környezetben, amelyben az együttműködés és a verseny többszörösen összefonódik. A vállalkozásoknak új üzleti formákat kell bevonniuk, és meg kell becsülniük a minőségi munka és a termékek értékét. </w:t>
      </w:r>
    </w:p>
    <w:p w:rsidR="00170A1A" w:rsidRPr="00BB2924" w:rsidRDefault="00170A1A" w:rsidP="008C47A9">
      <w:pPr>
        <w:pStyle w:val="Hlistbullet2"/>
        <w:rPr>
          <w:highlight w:val="yellow"/>
        </w:rPr>
      </w:pPr>
      <w:r>
        <w:rPr>
          <w:highlight w:val="yellow"/>
        </w:rPr>
        <w:t xml:space="preserve">A rendszeresen bevont </w:t>
      </w:r>
      <w:r>
        <w:rPr>
          <w:b/>
          <w:highlight w:val="yellow"/>
        </w:rPr>
        <w:t>civil társadalmi szervezetek</w:t>
      </w:r>
      <w:r>
        <w:rPr>
          <w:highlight w:val="yellow"/>
        </w:rPr>
        <w:t xml:space="preserve"> magukkal hozzák az érdeklődésükre számot tartó kérdéseket, valamint a tevékenységeikből adódó szakértelmet és jártasságot, és olyan érdekeket képviselnek, amelyek a pénzért és hatalomért folyó globális játszmák során gyakran kevés figyelmet kapnak.</w:t>
      </w:r>
    </w:p>
    <w:p w:rsidR="00170A1A" w:rsidRPr="00BB2924" w:rsidRDefault="00170A1A" w:rsidP="008C47A9">
      <w:pPr>
        <w:pStyle w:val="Hlistbullet2"/>
        <w:rPr>
          <w:highlight w:val="yellow"/>
        </w:rPr>
      </w:pPr>
      <w:r>
        <w:rPr>
          <w:highlight w:val="yellow"/>
        </w:rPr>
        <w:t xml:space="preserve">Az </w:t>
      </w:r>
      <w:r>
        <w:rPr>
          <w:b/>
          <w:highlight w:val="yellow"/>
        </w:rPr>
        <w:t>intézmények</w:t>
      </w:r>
      <w:r>
        <w:rPr>
          <w:highlight w:val="yellow"/>
        </w:rPr>
        <w:t xml:space="preserve"> a rendeltetésüknek megfelelően, valamint az emberek, közösségek valódi szolgálatának céljával alakulnak át, ezáltal folyamatosságot biztosítanak az egyre több bizonytalanságot rejtő világban, de készek alkalmazkodni és átalakulni is, ha a körülmények úgy kívánják.</w:t>
      </w:r>
    </w:p>
    <w:p w:rsidR="00170A1A" w:rsidRPr="00BB2924" w:rsidRDefault="00170A1A" w:rsidP="008C47A9">
      <w:pPr>
        <w:pStyle w:val="Hlistbullet2"/>
        <w:rPr>
          <w:highlight w:val="yellow"/>
        </w:rPr>
      </w:pPr>
      <w:r>
        <w:rPr>
          <w:highlight w:val="yellow"/>
        </w:rPr>
        <w:t xml:space="preserve">A </w:t>
      </w:r>
      <w:r>
        <w:rPr>
          <w:b/>
          <w:highlight w:val="yellow"/>
        </w:rPr>
        <w:t>szociális és gazdasági ágazatok és a helyi közösségek</w:t>
      </w:r>
      <w:r>
        <w:rPr>
          <w:highlight w:val="yellow"/>
        </w:rPr>
        <w:t xml:space="preserve"> személyeket, vállalkozásokat, intézményeket és civil társadalmi szervezeteket magukban foglaló együttműködési rendszereknek tekinthetők. Ezek a szervezetek új lendületet kapnak, új lehetőségeket ismerhetnek meg az innováció és a diverzifikálás terén, valamint a tekintetben, hogy a nagyszabású változások előfutáraivá válhassanak, hogy megfelelhessenek olyan jövőbeli kihívásoknak is, amelyek helyi intézkedésekkel már nem lennének kezelhetők.</w:t>
      </w:r>
    </w:p>
    <w:p w:rsidR="00170A1A" w:rsidRPr="00BB2924" w:rsidRDefault="00170A1A" w:rsidP="00403F21">
      <w:pPr>
        <w:rPr>
          <w:rFonts w:cs="Arial"/>
          <w:b/>
          <w:color w:val="E7E6E6" w:themeColor="background2"/>
          <w:sz w:val="20"/>
          <w:szCs w:val="20"/>
          <w:highlight w:val="yellow"/>
        </w:rPr>
      </w:pPr>
      <w:r>
        <w:rPr>
          <w:sz w:val="20"/>
          <w:szCs w:val="20"/>
          <w:highlight w:val="yellow"/>
        </w:rPr>
        <w:t>Az NVH-k eredményei és hatásai önálló értékelési témákat is képviselhetnek (például a hálózatépítési kapacitás tekintetében).</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6F407B">
        <w:trPr>
          <w:jc w:val="center"/>
        </w:trPr>
        <w:tc>
          <w:tcPr>
            <w:tcW w:w="9016" w:type="dxa"/>
            <w:shd w:val="clear" w:color="auto" w:fill="F5F4F4" w:themeFill="background2" w:themeFillTint="66"/>
          </w:tcPr>
          <w:p w:rsidR="00170A1A" w:rsidRPr="00BB2924" w:rsidRDefault="00170A1A" w:rsidP="007D1DEB">
            <w:pPr>
              <w:pStyle w:val="HStandard"/>
              <w:rPr>
                <w:b/>
                <w:highlight w:val="yellow"/>
              </w:rPr>
            </w:pPr>
            <w:r>
              <w:rPr>
                <w:b/>
                <w:highlight w:val="yellow"/>
              </w:rPr>
              <w:t xml:space="preserve">Az NVH értékelésének alapja az NVH beavatkozási logikája, amelyet a programba bevont terület konkrét igényeinek kielégítésére terveztek, amennyiben az ilyen igényekre az NVH-k megoldást tudnak nyújtani. </w:t>
            </w:r>
          </w:p>
          <w:p w:rsidR="00170A1A" w:rsidRPr="00BB2924" w:rsidRDefault="00170A1A" w:rsidP="00501EAB">
            <w:pPr>
              <w:pStyle w:val="HStandard"/>
              <w:rPr>
                <w:b/>
                <w:highlight w:val="yellow"/>
              </w:rPr>
            </w:pPr>
            <w:r>
              <w:rPr>
                <w:b/>
                <w:highlight w:val="yellow"/>
              </w:rPr>
              <w:t xml:space="preserve">Az NVH függőleges és vízszintes konzisztencia szerint felépített beavatkozási logikája magában foglalja az NVH célkitűzéseit, tevékenységeit és várt kihatásait. </w:t>
            </w:r>
          </w:p>
          <w:p w:rsidR="00170A1A" w:rsidRPr="00BB2924" w:rsidRDefault="00170A1A" w:rsidP="007D1DEB">
            <w:pPr>
              <w:pStyle w:val="HStandard"/>
              <w:rPr>
                <w:b/>
                <w:highlight w:val="yellow"/>
              </w:rPr>
            </w:pPr>
            <w:r>
              <w:rPr>
                <w:b/>
                <w:highlight w:val="yellow"/>
              </w:rPr>
              <w:t xml:space="preserve">A beavatkozási logikának állandónak kell maradnia a programozási időszak során, és csak akkor módosítható, ha a programba bevont terület szükségletei jelentősen megváltoznak. </w:t>
            </w:r>
          </w:p>
          <w:p w:rsidR="00170A1A" w:rsidRPr="00BB2924" w:rsidRDefault="00170A1A" w:rsidP="0024775E">
            <w:pPr>
              <w:pStyle w:val="HStandard"/>
              <w:rPr>
                <w:b/>
                <w:color w:val="E7E6E6" w:themeColor="background2"/>
                <w:highlight w:val="yellow"/>
              </w:rPr>
            </w:pPr>
            <w:r>
              <w:rPr>
                <w:b/>
                <w:highlight w:val="yellow"/>
              </w:rPr>
              <w:t>Az NVH-k értékelése az NVH-beavatkozások relevanciájára, eredményességére és hatékonyságára, a hálózati célkitűzések teljesítésére, valamint az eredmények és hatások értékelésére összpontosít.</w:t>
            </w:r>
          </w:p>
        </w:tc>
      </w:tr>
    </w:tbl>
    <w:p w:rsidR="00170A1A" w:rsidRPr="00BB2924" w:rsidRDefault="00170A1A" w:rsidP="00403F21">
      <w:pPr>
        <w:pStyle w:val="HHeading5"/>
        <w:rPr>
          <w:highlight w:val="yellow"/>
        </w:rPr>
      </w:pPr>
      <w:r>
        <w:rPr>
          <w:highlight w:val="yellow"/>
        </w:rPr>
        <w:t>Az NVH beavatkozási logikájának külső konzisztenciája</w:t>
      </w:r>
    </w:p>
    <w:p w:rsidR="00170A1A" w:rsidRPr="00BB2924" w:rsidRDefault="00170A1A" w:rsidP="00403F21">
      <w:pPr>
        <w:pStyle w:val="HStandard"/>
        <w:rPr>
          <w:rFonts w:eastAsia="Calibri"/>
          <w:highlight w:val="yellow"/>
        </w:rPr>
      </w:pPr>
      <w:r>
        <w:rPr>
          <w:highlight w:val="yellow"/>
        </w:rPr>
        <w:t xml:space="preserve">Az EMVA által támogatott NVH végső célkitűzése az Európai Unió vidékfejlesztési politikájában meghatározott célkitűzések elérésének támogatása. Ez kiterjed a vidéki népesség társadalmi-gazdasági jóllétére, valamint a vidéki területek környezetvédelmi, kulturális és esztétikai épségére, nem megfeledkezve arról, hogy a vidéki területek határoktól függetlenül hozzájárulnak a társadalom egészének fenntartható fejlődéséhez. Mindez csak akkor valósítható meg, ha az NVH beavatkozási logikája </w:t>
      </w:r>
      <w:r>
        <w:rPr>
          <w:b/>
          <w:highlight w:val="yellow"/>
        </w:rPr>
        <w:t>külső konzisztenciát</w:t>
      </w:r>
      <w:r>
        <w:rPr>
          <w:highlight w:val="yellow"/>
        </w:rPr>
        <w:t xml:space="preserve"> mutat a vidékfejlesztési politika célkitűzéseivel. </w:t>
      </w:r>
    </w:p>
    <w:p w:rsidR="00170A1A" w:rsidRPr="00BB2924" w:rsidRDefault="00170A1A" w:rsidP="00403F21">
      <w:pPr>
        <w:pStyle w:val="HStandard"/>
        <w:rPr>
          <w:rFonts w:eastAsia="Calibri"/>
          <w:highlight w:val="yellow"/>
        </w:rPr>
      </w:pPr>
      <w:r>
        <w:rPr>
          <w:highlight w:val="yellow"/>
        </w:rPr>
        <w:t xml:space="preserve">Az NVH beavatkozási logikájának külső konzisztenciája azt jelenti, hogy az NVH négy általános célkitűzésének megvalósítása elősegíti a VFP célkitűzéseinek – NVHP-k esetén egy vagy több VFP – teljesítését is. Ahogy az NVH hozzájárul a VFP célkitűzéseinek megvalósításához, az NVH által elért eredményeknek is hozzá kell járulniuk a VFP kimeneteihez, az NVH hatásainak pedig a VFP </w:t>
      </w:r>
      <w:r>
        <w:rPr>
          <w:highlight w:val="yellow"/>
        </w:rPr>
        <w:lastRenderedPageBreak/>
        <w:t>eredményeihez. Emellett az NVH általában befolyásolja az NVH közvetlen és közvetett kedvezményezettjeinek és nem kedvezményezettjeinek társadalmi környezetét a társadalmi és humántőke terén. Az NVH-k által létrehozott társadalmi tőke befolyással lehet a VFP hatására is, az alábbi ábrán bemutatottak szerint:</w:t>
      </w:r>
    </w:p>
    <w:p w:rsidR="00170A1A" w:rsidRPr="00BB2924" w:rsidRDefault="00170A1A" w:rsidP="00EF2430">
      <w:pPr>
        <w:pStyle w:val="HHeadingfigures"/>
        <w:rPr>
          <w:highlight w:val="yellow"/>
        </w:rPr>
      </w:pPr>
      <w:bookmarkStart w:id="39" w:name="_Toc445465121"/>
      <w:r>
        <w:br w:type="column"/>
      </w:r>
      <w:bookmarkStart w:id="40" w:name="_Ref451784376"/>
      <w:bookmarkStart w:id="41" w:name="_Ref451784562"/>
      <w:bookmarkStart w:id="42" w:name="_Toc464410811"/>
      <w:r>
        <w:rPr>
          <w:highlight w:val="yellow"/>
        </w:rPr>
        <w:lastRenderedPageBreak/>
        <w:t>Az NVH kihatásai és ezek hozzájárulása a VFP kimeneteihez, eredményeihez és hatásaihoz</w:t>
      </w:r>
      <w:bookmarkEnd w:id="39"/>
      <w:bookmarkEnd w:id="40"/>
      <w:bookmarkEnd w:id="41"/>
      <w:bookmarkEnd w:id="42"/>
    </w:p>
    <w:p w:rsidR="00170A1A" w:rsidRPr="00BB2924" w:rsidRDefault="00170A1A" w:rsidP="00A82087">
      <w:pPr>
        <w:pStyle w:val="HStandard"/>
        <w:jc w:val="center"/>
        <w:rPr>
          <w:rFonts w:eastAsia="Calibri"/>
          <w:sz w:val="12"/>
          <w:szCs w:val="12"/>
          <w:highlight w:val="yellow"/>
        </w:rPr>
      </w:pPr>
      <w:r w:rsidRPr="00CD4E72">
        <w:rPr>
          <w:noProof/>
          <w:lang w:val="en-GB" w:eastAsia="en-GB"/>
        </w:rPr>
        <w:drawing>
          <wp:inline distT="0" distB="0" distL="0" distR="0" wp14:anchorId="636CE52D" wp14:editId="15AEA99A">
            <wp:extent cx="5731510" cy="28093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2809335"/>
                    </a:xfrm>
                    <a:prstGeom prst="rect">
                      <a:avLst/>
                    </a:prstGeom>
                    <a:noFill/>
                    <a:ln>
                      <a:noFill/>
                    </a:ln>
                  </pic:spPr>
                </pic:pic>
              </a:graphicData>
            </a:graphic>
          </wp:inline>
        </w:drawing>
      </w:r>
      <w:r>
        <w:rPr>
          <w:sz w:val="16"/>
          <w:szCs w:val="16"/>
          <w:highlight w:val="yellow"/>
        </w:rPr>
        <w:t>Forrás: Európai vidékfejlesztési értékelési támogató szolgálat, 2016</w:t>
      </w:r>
    </w:p>
    <w:p w:rsidR="00170A1A" w:rsidRPr="00BB2924" w:rsidRDefault="00170A1A" w:rsidP="0031367A">
      <w:pPr>
        <w:pStyle w:val="HStandard"/>
        <w:rPr>
          <w:rFonts w:eastAsia="Calibri"/>
          <w:highlight w:val="yellow"/>
        </w:rPr>
      </w:pPr>
      <w:r>
        <w:rPr>
          <w:highlight w:val="yellow"/>
        </w:rPr>
        <w:t xml:space="preserve">Az NVH a VFP célkitűzései, eredményei és hatásai révén kapcsolódik az Európai Unió vidékfejlesztési politikájának célkitűzéseihez is, és következésképpen a külső konzisztencia egy másik szintjén az Európa 2020 stratégia prioritásaihoz és kiemelt céljaihoz is. </w:t>
      </w:r>
    </w:p>
    <w:p w:rsidR="00170A1A" w:rsidRPr="00BB2924" w:rsidRDefault="00170A1A" w:rsidP="0031367A">
      <w:pPr>
        <w:pStyle w:val="HStandard"/>
        <w:rPr>
          <w:rFonts w:eastAsia="Calibri"/>
          <w:highlight w:val="yellow"/>
        </w:rPr>
      </w:pPr>
      <w:r>
        <w:rPr>
          <w:highlight w:val="yellow"/>
        </w:rPr>
        <w:t xml:space="preserve">A </w:t>
      </w:r>
      <w:r w:rsidRPr="00BB2924">
        <w:rPr>
          <w:rFonts w:eastAsia="Calibri"/>
          <w:highlight w:val="yellow"/>
        </w:rPr>
        <w:fldChar w:fldCharType="begin" w:fldLock="1"/>
      </w:r>
      <w:r w:rsidRPr="00BB2924">
        <w:rPr>
          <w:rFonts w:eastAsia="Calibri"/>
          <w:highlight w:val="yellow"/>
        </w:rPr>
        <w:instrText xml:space="preserve"> REF _Ref451784406 \r \h </w:instrText>
      </w:r>
      <w:r>
        <w:rPr>
          <w:rFonts w:eastAsia="Calibri"/>
          <w:highlight w:val="yellow"/>
        </w:rPr>
        <w:instrText xml:space="preserve"> \* MERGEFORMAT </w:instrText>
      </w:r>
      <w:r w:rsidRPr="00BB2924">
        <w:rPr>
          <w:rFonts w:eastAsia="Calibri"/>
          <w:highlight w:val="yellow"/>
        </w:rPr>
      </w:r>
      <w:r w:rsidRPr="00BB2924">
        <w:rPr>
          <w:rFonts w:eastAsia="Calibri"/>
          <w:highlight w:val="yellow"/>
        </w:rPr>
        <w:fldChar w:fldCharType="separate"/>
      </w:r>
      <w:r w:rsidRPr="00BB2924">
        <w:rPr>
          <w:rFonts w:eastAsia="Calibri"/>
          <w:highlight w:val="yellow"/>
        </w:rPr>
        <w:t>Figure 8</w:t>
      </w:r>
      <w:r w:rsidRPr="00BB2924">
        <w:rPr>
          <w:rFonts w:eastAsia="Calibri"/>
          <w:highlight w:val="yellow"/>
        </w:rPr>
        <w:fldChar w:fldCharType="end"/>
      </w:r>
      <w:r>
        <w:rPr>
          <w:highlight w:val="yellow"/>
        </w:rPr>
        <w:t xml:space="preserve"> szemlélteti az NVH-nak a VFP-vel (VFP-kkel), a vidékfejlesztési és horizontális szakpolitikai célkitűzésekkel, valamint a VFP eredményeivel/hatásaival való külső konzisztenciáját. </w:t>
      </w:r>
    </w:p>
    <w:p w:rsidR="00170A1A" w:rsidRPr="00BB2924" w:rsidRDefault="00170A1A" w:rsidP="00EF2430">
      <w:pPr>
        <w:pStyle w:val="HHeadingfigures"/>
        <w:rPr>
          <w:highlight w:val="yellow"/>
        </w:rPr>
      </w:pPr>
      <w:bookmarkStart w:id="43" w:name="_Toc445465122"/>
      <w:bookmarkStart w:id="44" w:name="_Ref451784406"/>
      <w:bookmarkStart w:id="45" w:name="_Ref451784429"/>
      <w:bookmarkStart w:id="46" w:name="_Ref451784787"/>
      <w:bookmarkStart w:id="47" w:name="_Toc464410812"/>
      <w:r>
        <w:rPr>
          <w:highlight w:val="yellow"/>
        </w:rPr>
        <w:t>Az NVH hozzájárulása a nemzeti, VFP- és uniós célkitűzések megvalósulásához</w:t>
      </w:r>
      <w:bookmarkEnd w:id="43"/>
      <w:bookmarkEnd w:id="44"/>
      <w:bookmarkEnd w:id="45"/>
      <w:bookmarkEnd w:id="46"/>
      <w:bookmarkEnd w:id="47"/>
    </w:p>
    <w:p w:rsidR="00170A1A" w:rsidRPr="00BB2924" w:rsidRDefault="00170A1A" w:rsidP="00F94860">
      <w:pPr>
        <w:pStyle w:val="HStandard"/>
        <w:jc w:val="center"/>
        <w:rPr>
          <w:highlight w:val="yellow"/>
        </w:rPr>
      </w:pPr>
      <w:r w:rsidRPr="004C7C02">
        <w:rPr>
          <w:noProof/>
          <w:lang w:val="en-GB" w:eastAsia="en-GB"/>
        </w:rPr>
        <w:drawing>
          <wp:inline distT="0" distB="0" distL="0" distR="0" wp14:anchorId="7C35641E" wp14:editId="692B9724">
            <wp:extent cx="4679950" cy="4088363"/>
            <wp:effectExtent l="0" t="0" r="635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682940" cy="4090975"/>
                    </a:xfrm>
                    <a:prstGeom prst="rect">
                      <a:avLst/>
                    </a:prstGeom>
                  </pic:spPr>
                </pic:pic>
              </a:graphicData>
            </a:graphic>
          </wp:inline>
        </w:drawing>
      </w:r>
    </w:p>
    <w:p w:rsidR="00170A1A" w:rsidRPr="00BB2924" w:rsidRDefault="00170A1A" w:rsidP="0031367A">
      <w:pPr>
        <w:pStyle w:val="HSource"/>
        <w:rPr>
          <w:rFonts w:eastAsia="Calibri"/>
          <w:highlight w:val="yellow"/>
        </w:rPr>
      </w:pPr>
      <w:r>
        <w:rPr>
          <w:highlight w:val="yellow"/>
        </w:rPr>
        <w:lastRenderedPageBreak/>
        <w:t>Forrás: Európai vidékfejlesztési értékelési támogató szolgálat, 2016</w:t>
      </w:r>
    </w:p>
    <w:p w:rsidR="00170A1A" w:rsidRPr="00BB2924" w:rsidRDefault="00170A1A" w:rsidP="0031367A">
      <w:pPr>
        <w:pStyle w:val="HStandard"/>
        <w:rPr>
          <w:rFonts w:eastAsia="Calibri"/>
          <w:highlight w:val="yellow"/>
        </w:rPr>
      </w:pPr>
      <w:r>
        <w:rPr>
          <w:highlight w:val="yellow"/>
        </w:rPr>
        <w:t>Az NVH bizonyos szakpolitikai célkitűzések megvalósításához történő hozzájárulása önálló értékelési témákat is képviselhet (például az NVH hozzájárulása a biológiai sokféleség növeléséhez, az éghajlatváltozással kapcsolatos kérdések kezeléséhez stb.).</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D70CE9">
        <w:tc>
          <w:tcPr>
            <w:tcW w:w="9016" w:type="dxa"/>
            <w:shd w:val="clear" w:color="auto" w:fill="F5F4F4" w:themeFill="background2" w:themeFillTint="66"/>
          </w:tcPr>
          <w:p w:rsidR="00170A1A" w:rsidRPr="00BB2924" w:rsidRDefault="00170A1A" w:rsidP="00B67AEC">
            <w:pPr>
              <w:pStyle w:val="HStandard"/>
              <w:rPr>
                <w:rFonts w:eastAsia="Calibri"/>
                <w:b/>
                <w:highlight w:val="yellow"/>
              </w:rPr>
            </w:pPr>
            <w:r>
              <w:rPr>
                <w:b/>
                <w:highlight w:val="yellow"/>
              </w:rPr>
              <w:t xml:space="preserve">A külső konzisztencia garantálja, hogy az NVH beavatkozási logikája hozzájáruljon mind a VFP célkitűzéseinek, mind az uniós szintű célkitűzések teljesítéséhez. </w:t>
            </w:r>
          </w:p>
          <w:p w:rsidR="00170A1A" w:rsidRPr="00BB2924" w:rsidRDefault="00170A1A" w:rsidP="00501EAB">
            <w:pPr>
              <w:pStyle w:val="HStandard"/>
              <w:rPr>
                <w:rFonts w:eastAsia="Calibri"/>
                <w:b/>
                <w:highlight w:val="yellow"/>
              </w:rPr>
            </w:pPr>
            <w:r>
              <w:rPr>
                <w:b/>
                <w:highlight w:val="yellow"/>
              </w:rPr>
              <w:t>Az NVH-értékelés középpontjában a külső konzisztencia értékelése, valamint az NVH-nak a VFP és az Unió szakpolitikai célkitűzéseinek megvalósításában betöltött szerepének értékelése áll.</w:t>
            </w:r>
          </w:p>
        </w:tc>
      </w:tr>
    </w:tbl>
    <w:p w:rsidR="00170A1A" w:rsidRPr="00BB2924" w:rsidRDefault="00170A1A" w:rsidP="0031367A">
      <w:pPr>
        <w:pStyle w:val="HHeading5"/>
        <w:rPr>
          <w:highlight w:val="yellow"/>
        </w:rPr>
      </w:pPr>
      <w:r>
        <w:rPr>
          <w:highlight w:val="yellow"/>
        </w:rPr>
        <w:t xml:space="preserve">Eredményesség és hatékonyság </w:t>
      </w:r>
    </w:p>
    <w:p w:rsidR="00170A1A" w:rsidRPr="00BB2924" w:rsidRDefault="00170A1A" w:rsidP="0031367A">
      <w:pPr>
        <w:pStyle w:val="HStandard"/>
        <w:rPr>
          <w:highlight w:val="yellow"/>
        </w:rPr>
      </w:pPr>
      <w:r>
        <w:rPr>
          <w:highlight w:val="yellow"/>
        </w:rPr>
        <w:t xml:space="preserve">Az NVH eredményességének értékelése során azt vizsgálják, hogy milyen mértékben valósulnak meg az NVH célkitűzései, valamint hogy milyen mértékben járul hozzá az NVH a szakpolitikai célkitűzések teljesítéséhez a VFP és az Unió szintjén. A hatékonyság vizsgálata az eredményesség vizsgálatával együtt történik, és annak során arra keresik a választ, hogy a megállapított köz- és magánfinanszírozási forrásokat célravezető módon használták-e fel a szakpolitikai célkitűzések megvalósítása érdekében (az NVH, a VFP és az Unió szintjén), és elérték-e a várt kimeneteket, eredményeket és hatásokat.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D70CE9">
        <w:tc>
          <w:tcPr>
            <w:tcW w:w="9016" w:type="dxa"/>
            <w:shd w:val="clear" w:color="auto" w:fill="F5F4F4" w:themeFill="background2" w:themeFillTint="66"/>
          </w:tcPr>
          <w:p w:rsidR="00170A1A" w:rsidRPr="00BB2924" w:rsidRDefault="00170A1A" w:rsidP="004F780F">
            <w:pPr>
              <w:pStyle w:val="HStandard"/>
              <w:rPr>
                <w:b/>
                <w:highlight w:val="yellow"/>
              </w:rPr>
            </w:pPr>
            <w:r>
              <w:rPr>
                <w:b/>
                <w:highlight w:val="yellow"/>
              </w:rPr>
              <w:t xml:space="preserve">Az eredményesség értékelése során azt vizsgálják, hogy az NVH-beavatkozások milyen mértékben segítették elő a szakpolitikai célkitűzések megvalósítását az NVH, a VFP és az Unió szintjén. </w:t>
            </w:r>
          </w:p>
          <w:p w:rsidR="00170A1A" w:rsidRPr="00BB2924" w:rsidRDefault="00170A1A" w:rsidP="000B2D05">
            <w:pPr>
              <w:pStyle w:val="HStandard"/>
              <w:rPr>
                <w:highlight w:val="yellow"/>
              </w:rPr>
            </w:pPr>
            <w:r>
              <w:rPr>
                <w:b/>
                <w:highlight w:val="yellow"/>
              </w:rPr>
              <w:t xml:space="preserve">A hatékonyság értékelésekor azt elemzik, hogy milyen ráfordításokkal érték el az NVH kimeneteit, eredményeit és hatásait. </w:t>
            </w:r>
          </w:p>
        </w:tc>
      </w:tr>
    </w:tbl>
    <w:p w:rsidR="00170A1A" w:rsidRPr="00BB2924" w:rsidRDefault="00170A1A" w:rsidP="0031367A">
      <w:pPr>
        <w:pStyle w:val="HHeading5"/>
        <w:rPr>
          <w:highlight w:val="yellow"/>
        </w:rPr>
      </w:pPr>
      <w:r>
        <w:rPr>
          <w:highlight w:val="yellow"/>
        </w:rPr>
        <w:t>Az NVH-k sikerének és sikertelenségének tényezői</w:t>
      </w:r>
    </w:p>
    <w:p w:rsidR="00170A1A" w:rsidRPr="00BB2924" w:rsidRDefault="00170A1A" w:rsidP="0031367A">
      <w:pPr>
        <w:pStyle w:val="HStandard"/>
        <w:rPr>
          <w:highlight w:val="yellow"/>
        </w:rPr>
      </w:pPr>
      <w:r>
        <w:rPr>
          <w:highlight w:val="yellow"/>
        </w:rPr>
        <w:t xml:space="preserve">Az értékelés az NVH eredményének, hatásainak és teljesítményének vizsgálatán túl lehetőséget nyújt arra, hogy fontos tanulságokat vonjanak le az NVH tevékenységének javításához és a jövőbeli NVH-k jobb tervezéséhez a hálózat sikerét vagy sikertelenségét előidéző tényezők megfigyelése révén. </w:t>
      </w:r>
    </w:p>
    <w:p w:rsidR="00170A1A" w:rsidRPr="00BB2924" w:rsidRDefault="00170A1A" w:rsidP="0031367A">
      <w:pPr>
        <w:pStyle w:val="HStandard"/>
        <w:rPr>
          <w:highlight w:val="yellow"/>
        </w:rPr>
      </w:pPr>
      <w:r>
        <w:rPr>
          <w:highlight w:val="yellow"/>
        </w:rPr>
        <w:t xml:space="preserve">A sikeresség és sikertelenség tényezői lehetnek belső és külső tényezők. Ezek erősíthetik vagy gyengíthetik az NVH tevékenységeinek kihatásait. A belső tényezők közé tartozhatnak az NVH tevékenységeinek adminisztrációjával és végrehajtásával kapcsolatos kérdések (például a HTE működése). Külső tényező lehet a hálózatépítés kultúrájának megléte vagy hiánya a vidéki területeken.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D70CE9">
        <w:tc>
          <w:tcPr>
            <w:tcW w:w="9016" w:type="dxa"/>
            <w:shd w:val="clear" w:color="auto" w:fill="F5F4F4" w:themeFill="background2" w:themeFillTint="66"/>
          </w:tcPr>
          <w:p w:rsidR="00170A1A" w:rsidRPr="00BB2924" w:rsidRDefault="00170A1A" w:rsidP="00DC0897">
            <w:pPr>
              <w:pStyle w:val="HStandard"/>
              <w:rPr>
                <w:b/>
                <w:highlight w:val="yellow"/>
              </w:rPr>
            </w:pPr>
            <w:r>
              <w:rPr>
                <w:b/>
                <w:highlight w:val="yellow"/>
              </w:rPr>
              <w:t xml:space="preserve">Az NVH-beavatkozások sikerességének és sikertelenségének tényezőire vonatkozó értékelés az NVH-beavatkozásokat erősítő, illetve gyengítő belső és külső tényezőket is megvizsgálja. Ez a vizsgálat fontos eleme az NVH-értékelés tanulási funkciójának. </w:t>
            </w:r>
          </w:p>
        </w:tc>
      </w:tr>
    </w:tbl>
    <w:p w:rsidR="00170A1A" w:rsidRPr="00BB2924" w:rsidRDefault="00170A1A" w:rsidP="00680DA9">
      <w:pPr>
        <w:pStyle w:val="HHeading3"/>
        <w:rPr>
          <w:highlight w:val="yellow"/>
        </w:rPr>
      </w:pPr>
      <w:bookmarkStart w:id="48" w:name="_Toc464410784"/>
      <w:r>
        <w:rPr>
          <w:highlight w:val="yellow"/>
        </w:rPr>
        <w:t>Az NVH-k értékelésének elemei</w:t>
      </w:r>
      <w:bookmarkEnd w:id="48"/>
    </w:p>
    <w:p w:rsidR="00170A1A" w:rsidRPr="00BB2924" w:rsidRDefault="00170A1A" w:rsidP="00A27369">
      <w:pPr>
        <w:pStyle w:val="HStandard"/>
        <w:rPr>
          <w:highlight w:val="yellow"/>
        </w:rPr>
      </w:pPr>
      <w:r>
        <w:rPr>
          <w:highlight w:val="yellow"/>
        </w:rPr>
        <w:t xml:space="preserve">A közös monitoring- és értékelési rendszer (CMES) meghatározza a vidékfejlesztési programok, köztük az NVH-k értékelése során használandó közös értékelési elemeket. Az Európai Bizottság a tagállamok érdekelt feleivel együttesen azzal a céllal dolgozta ki a közös elemeket, hogy uniós szinten összesíthető, a VFP-k körében összehasonlítható alapvető információkat biztosítson. A CMES elemeit a programba bevont terület sajátosságainak kezelésekor ki kell egészíteni programspecifikus elemekkel, ideértve az NVH-kkal kapcsolatos szempontokat. Az NVH-k programspecifikus elemeit a program irányító hatóságai önállóan vagy az NVH-k érdekelt feleivel együttműködve tervezik az NVH konkrét szempontjainak figyelembevétele érdekében. </w:t>
      </w:r>
    </w:p>
    <w:p w:rsidR="00170A1A" w:rsidRPr="00BB2924" w:rsidRDefault="00170A1A" w:rsidP="00A27369">
      <w:pPr>
        <w:pStyle w:val="HStandard"/>
        <w:rPr>
          <w:highlight w:val="yellow"/>
        </w:rPr>
      </w:pPr>
      <w:r>
        <w:rPr>
          <w:highlight w:val="yellow"/>
        </w:rPr>
        <w:lastRenderedPageBreak/>
        <w:t xml:space="preserve">Az NVH-k értékelésének elemei az alábbiak: </w:t>
      </w:r>
    </w:p>
    <w:p w:rsidR="00170A1A" w:rsidRPr="00BB2924" w:rsidRDefault="00170A1A" w:rsidP="00A27369">
      <w:pPr>
        <w:pStyle w:val="Hlistbullet"/>
        <w:rPr>
          <w:highlight w:val="yellow"/>
        </w:rPr>
      </w:pPr>
      <w:r>
        <w:rPr>
          <w:b/>
          <w:highlight w:val="yellow"/>
        </w:rPr>
        <w:t>Beavatkozási logika</w:t>
      </w:r>
      <w:r>
        <w:rPr>
          <w:highlight w:val="yellow"/>
        </w:rPr>
        <w:t>: az NVH célkitűzései és az NVH-cselekvésiterv keretében végrehajtott tevékenységek, valamint az NVH kimenetei, eredményei és hatásai közötti kapcsolatokat mutatja be. Az adott hálózat működési környezetének jellemzésére és elemzésére háttérleíró paramétereket használnak.</w:t>
      </w:r>
    </w:p>
    <w:p w:rsidR="00170A1A" w:rsidRPr="00BB2924" w:rsidRDefault="00170A1A" w:rsidP="00A27369">
      <w:pPr>
        <w:pStyle w:val="Hlistbullet"/>
        <w:rPr>
          <w:highlight w:val="yellow"/>
        </w:rPr>
      </w:pPr>
      <w:r>
        <w:rPr>
          <w:b/>
          <w:highlight w:val="yellow"/>
        </w:rPr>
        <w:t>Értékelési kérdések</w:t>
      </w:r>
      <w:r>
        <w:rPr>
          <w:highlight w:val="yellow"/>
        </w:rPr>
        <w:t>: azt határozzák meg, hogy mire összpontosít az NVH értékelése az NVH-hoz meghatározott közös és programspecifikus szakpolitikai célkitűzések vonatkozásában, azzal a céllal, hogy bemutassák az elért előrehaladást és teljesítményt, és egyúttal elősegítsék a vidékfejlesztési politika keretében végrehajtott beavatkozások eredményeinek, hatásainak, eredményességének, hatékonyságának és relevanciájának értékelését</w:t>
      </w:r>
      <w:r>
        <w:rPr>
          <w:rFonts w:ascii="ZWAdobeF" w:hAnsi="ZWAdobeF"/>
          <w:color w:val="auto"/>
          <w:sz w:val="2"/>
          <w:szCs w:val="2"/>
          <w:highlight w:val="yellow"/>
        </w:rPr>
        <w:t>36F</w:t>
      </w:r>
      <w:r w:rsidRPr="00BB2924">
        <w:rPr>
          <w:rStyle w:val="FootnoteReference"/>
          <w:highlight w:val="yellow"/>
        </w:rPr>
        <w:footnoteReference w:id="37"/>
      </w:r>
      <w:r>
        <w:rPr>
          <w:highlight w:val="yellow"/>
        </w:rPr>
        <w:t>.</w:t>
      </w:r>
    </w:p>
    <w:p w:rsidR="00170A1A" w:rsidRPr="00BB2924" w:rsidRDefault="00170A1A" w:rsidP="00A27369">
      <w:pPr>
        <w:pStyle w:val="Hlistbullet2"/>
        <w:rPr>
          <w:highlight w:val="yellow"/>
        </w:rPr>
      </w:pPr>
      <w:r>
        <w:rPr>
          <w:b/>
          <w:highlight w:val="yellow"/>
        </w:rPr>
        <w:t>Mutatók</w:t>
      </w:r>
      <w:r>
        <w:rPr>
          <w:highlight w:val="yellow"/>
        </w:rPr>
        <w:t>: az NVH eredményeinek és hatásainak, valamint a hálózati beavatkozások hatékonyságának, eredményességének, teljesítményének és relevanciájának értékeléséhez használt eszközök.</w:t>
      </w:r>
    </w:p>
    <w:p w:rsidR="00170A1A" w:rsidRPr="00BB2924" w:rsidRDefault="00170A1A" w:rsidP="00A27369">
      <w:pPr>
        <w:pStyle w:val="HHeading5"/>
        <w:rPr>
          <w:highlight w:val="yellow"/>
        </w:rPr>
      </w:pPr>
      <w:r>
        <w:rPr>
          <w:highlight w:val="yellow"/>
        </w:rPr>
        <w:t>Közös értékelési elemek</w:t>
      </w:r>
    </w:p>
    <w:p w:rsidR="00170A1A" w:rsidRPr="00BB2924" w:rsidRDefault="00170A1A" w:rsidP="00A27369">
      <w:pPr>
        <w:pStyle w:val="HStandard"/>
        <w:rPr>
          <w:highlight w:val="yellow"/>
        </w:rPr>
      </w:pPr>
      <w:r>
        <w:rPr>
          <w:highlight w:val="yellow"/>
        </w:rPr>
        <w:t>A CMES által meghatározott közös értékelési elemek képezik az NVH-ra vonatkozó monitoring- és értékelési keret alapját:</w:t>
      </w:r>
    </w:p>
    <w:p w:rsidR="00170A1A" w:rsidRPr="00BB2924" w:rsidRDefault="00170A1A" w:rsidP="00892664">
      <w:pPr>
        <w:pStyle w:val="HStandard"/>
        <w:numPr>
          <w:ilvl w:val="0"/>
          <w:numId w:val="15"/>
        </w:numPr>
        <w:rPr>
          <w:highlight w:val="yellow"/>
        </w:rPr>
      </w:pPr>
      <w:r>
        <w:rPr>
          <w:highlight w:val="yellow"/>
        </w:rPr>
        <w:t>Az NVH-kkal kapcsolatosan a vidékfejlesztésre vonatkozó uniós rendeletben</w:t>
      </w:r>
      <w:r>
        <w:rPr>
          <w:rFonts w:ascii="ZWAdobeF" w:hAnsi="ZWAdobeF"/>
          <w:color w:val="auto"/>
          <w:sz w:val="2"/>
          <w:szCs w:val="2"/>
          <w:highlight w:val="yellow"/>
        </w:rPr>
        <w:t>37F</w:t>
      </w:r>
      <w:r w:rsidRPr="00BB2924">
        <w:rPr>
          <w:rStyle w:val="FootnoteReference"/>
          <w:highlight w:val="yellow"/>
        </w:rPr>
        <w:footnoteReference w:id="38"/>
      </w:r>
      <w:r>
        <w:rPr>
          <w:highlight w:val="yellow"/>
        </w:rPr>
        <w:t xml:space="preserve"> meghatározott négy </w:t>
      </w:r>
      <w:r>
        <w:rPr>
          <w:b/>
          <w:highlight w:val="yellow"/>
        </w:rPr>
        <w:t>közös célkitűzés</w:t>
      </w:r>
      <w:r>
        <w:rPr>
          <w:highlight w:val="yellow"/>
        </w:rPr>
        <w:t xml:space="preserve"> és hét közös intézkedéscsoport szolgál az NVH beavatkozási logikájának alapjául (lásd </w:t>
      </w:r>
      <w:r w:rsidRPr="00BB2924">
        <w:rPr>
          <w:highlight w:val="yellow"/>
        </w:rPr>
        <w:fldChar w:fldCharType="begin" w:fldLock="1"/>
      </w:r>
      <w:r w:rsidRPr="00BB2924">
        <w:rPr>
          <w:highlight w:val="yellow"/>
        </w:rPr>
        <w:instrText xml:space="preserve"> REF _Ref451784429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8</w:t>
      </w:r>
      <w:r w:rsidRPr="00BB2924">
        <w:rPr>
          <w:highlight w:val="yellow"/>
        </w:rPr>
        <w:fldChar w:fldCharType="end"/>
      </w:r>
      <w:r>
        <w:rPr>
          <w:highlight w:val="yellow"/>
        </w:rPr>
        <w:t xml:space="preserve">); </w:t>
      </w:r>
    </w:p>
    <w:p w:rsidR="00170A1A" w:rsidRPr="00BB2924" w:rsidRDefault="00170A1A" w:rsidP="00892664">
      <w:pPr>
        <w:pStyle w:val="HStandard"/>
        <w:numPr>
          <w:ilvl w:val="0"/>
          <w:numId w:val="15"/>
        </w:numPr>
        <w:rPr>
          <w:highlight w:val="yellow"/>
        </w:rPr>
      </w:pPr>
      <w:r>
        <w:rPr>
          <w:highlight w:val="yellow"/>
        </w:rPr>
        <w:t xml:space="preserve">Az NVH-k értékelésének a CMES-ben rögzített </w:t>
      </w:r>
      <w:r>
        <w:rPr>
          <w:b/>
          <w:highlight w:val="yellow"/>
        </w:rPr>
        <w:t>közös kérdései</w:t>
      </w:r>
      <w:r>
        <w:rPr>
          <w:rFonts w:ascii="ZWAdobeF" w:hAnsi="ZWAdobeF"/>
          <w:color w:val="auto"/>
          <w:sz w:val="2"/>
          <w:szCs w:val="2"/>
          <w:highlight w:val="yellow"/>
        </w:rPr>
        <w:t>38F</w:t>
      </w:r>
      <w:r w:rsidRPr="00BB2924">
        <w:rPr>
          <w:rStyle w:val="FootnoteReference"/>
          <w:highlight w:val="yellow"/>
        </w:rPr>
        <w:footnoteReference w:id="39"/>
      </w:r>
      <w:r>
        <w:rPr>
          <w:highlight w:val="yellow"/>
        </w:rPr>
        <w:t xml:space="preserve"> (lásd </w:t>
      </w:r>
      <w:r w:rsidRPr="00BB2924">
        <w:rPr>
          <w:highlight w:val="yellow"/>
        </w:rPr>
        <w:fldChar w:fldCharType="begin" w:fldLock="1"/>
      </w:r>
      <w:r w:rsidRPr="00BB2924">
        <w:rPr>
          <w:highlight w:val="yellow"/>
        </w:rPr>
        <w:instrText xml:space="preserve"> REF _Ref451784860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1</w:t>
      </w:r>
      <w:r w:rsidRPr="00BB2924">
        <w:rPr>
          <w:highlight w:val="yellow"/>
        </w:rPr>
        <w:fldChar w:fldCharType="end"/>
      </w:r>
      <w:r>
        <w:rPr>
          <w:highlight w:val="yellow"/>
        </w:rPr>
        <w:t>) az NVH mind a négy közös célkitűzéséhez</w:t>
      </w:r>
      <w:r>
        <w:rPr>
          <w:rFonts w:ascii="ZWAdobeF" w:hAnsi="ZWAdobeF"/>
          <w:color w:val="auto"/>
          <w:sz w:val="2"/>
          <w:szCs w:val="2"/>
          <w:highlight w:val="yellow"/>
        </w:rPr>
        <w:t>39F</w:t>
      </w:r>
      <w:r w:rsidRPr="00BB2924">
        <w:rPr>
          <w:rStyle w:val="FootnoteReference"/>
          <w:highlight w:val="yellow"/>
        </w:rPr>
        <w:footnoteReference w:id="40"/>
      </w:r>
      <w:r>
        <w:rPr>
          <w:highlight w:val="yellow"/>
        </w:rPr>
        <w:t xml:space="preserve"> kapcsolódnak, és az NVH-nak az Európai Unió vidékfejlesztési politikájára gyakorolt kihatásait vizsgálják. </w:t>
      </w:r>
    </w:p>
    <w:p w:rsidR="00170A1A" w:rsidRPr="00BB2924" w:rsidRDefault="00170A1A" w:rsidP="00892664">
      <w:pPr>
        <w:pStyle w:val="HStandard"/>
        <w:numPr>
          <w:ilvl w:val="0"/>
          <w:numId w:val="15"/>
        </w:numPr>
        <w:rPr>
          <w:highlight w:val="yellow"/>
        </w:rPr>
      </w:pPr>
      <w:r>
        <w:rPr>
          <w:highlight w:val="yellow"/>
        </w:rPr>
        <w:t xml:space="preserve">Az NVH-kra uniós szinten három </w:t>
      </w:r>
      <w:r>
        <w:rPr>
          <w:b/>
          <w:highlight w:val="yellow"/>
        </w:rPr>
        <w:t>közös kimeneti mutatót</w:t>
      </w:r>
      <w:r>
        <w:rPr>
          <w:highlight w:val="yellow"/>
        </w:rPr>
        <w:t xml:space="preserve"> határoztak meg</w:t>
      </w:r>
      <w:r>
        <w:rPr>
          <w:rFonts w:ascii="ZWAdobeF" w:hAnsi="ZWAdobeF"/>
          <w:color w:val="auto"/>
          <w:sz w:val="2"/>
          <w:szCs w:val="2"/>
          <w:highlight w:val="yellow"/>
        </w:rPr>
        <w:t>40F</w:t>
      </w:r>
      <w:r w:rsidRPr="00BB2924">
        <w:rPr>
          <w:rStyle w:val="FootnoteReference"/>
          <w:highlight w:val="yellow"/>
        </w:rPr>
        <w:footnoteReference w:id="41"/>
      </w:r>
      <w:r>
        <w:rPr>
          <w:highlight w:val="yellow"/>
        </w:rPr>
        <w:t xml:space="preserve"> (lásd </w:t>
      </w:r>
      <w:r w:rsidRPr="00BB2924">
        <w:rPr>
          <w:highlight w:val="yellow"/>
        </w:rPr>
        <w:fldChar w:fldCharType="begin" w:fldLock="1"/>
      </w:r>
      <w:r w:rsidRPr="00BB2924">
        <w:rPr>
          <w:highlight w:val="yellow"/>
        </w:rPr>
        <w:instrText xml:space="preserve"> REF _Ref451784441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9</w:t>
      </w:r>
      <w:r w:rsidRPr="00BB2924">
        <w:rPr>
          <w:highlight w:val="yellow"/>
        </w:rPr>
        <w:fldChar w:fldCharType="end"/>
      </w:r>
      <w:r>
        <w:rPr>
          <w:highlight w:val="yellow"/>
        </w:rPr>
        <w:t xml:space="preserve"> és </w:t>
      </w:r>
      <w:r w:rsidRPr="00BB2924">
        <w:rPr>
          <w:highlight w:val="yellow"/>
        </w:rPr>
        <w:fldChar w:fldCharType="begin" w:fldLock="1"/>
      </w:r>
      <w:r w:rsidRPr="00BB2924">
        <w:rPr>
          <w:highlight w:val="yellow"/>
        </w:rPr>
        <w:instrText xml:space="preserve"> REF _Ref451784868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1</w:t>
      </w:r>
      <w:r w:rsidRPr="00BB2924">
        <w:rPr>
          <w:highlight w:val="yellow"/>
        </w:rPr>
        <w:fldChar w:fldCharType="end"/>
      </w:r>
      <w:r>
        <w:rPr>
          <w:highlight w:val="yellow"/>
        </w:rPr>
        <w:t>).</w:t>
      </w:r>
    </w:p>
    <w:p w:rsidR="00170A1A" w:rsidRPr="00BB2924" w:rsidRDefault="00170A1A" w:rsidP="00A27369">
      <w:pPr>
        <w:pStyle w:val="HHeading5"/>
        <w:rPr>
          <w:highlight w:val="yellow"/>
        </w:rPr>
      </w:pPr>
      <w:r>
        <w:rPr>
          <w:highlight w:val="yellow"/>
        </w:rPr>
        <w:t xml:space="preserve">További mutatók </w:t>
      </w:r>
    </w:p>
    <w:p w:rsidR="00170A1A" w:rsidRPr="00BB2924" w:rsidRDefault="00170A1A" w:rsidP="00A966FB">
      <w:pPr>
        <w:pStyle w:val="HStandard"/>
        <w:rPr>
          <w:highlight w:val="yellow"/>
        </w:rPr>
      </w:pPr>
      <w:r>
        <w:rPr>
          <w:highlight w:val="yellow"/>
        </w:rPr>
        <w:t>Mivel a közös kimeneti mutatók nem elegendőek az NVH-val kapcsolatos közös értékelési kérdések megválaszolásához, a tagállamok érdekelt feleinek további mutatókat kell kidolgozniuk a kimenetekre, eredményekre és hatásokra vonatkozóan. További mutatók hozhatók létre az iránymutatás III. részének 5. fejezetében található kimenet-eredmény-hatás lánc alapján. A „Common evaluation questions for Rural Development Programmes 2014-2020 (A 2014–2020-as időszakban megvalósítandó vidékfejlesztési programok közös értékelési kérdései)</w:t>
      </w:r>
      <w:r>
        <w:rPr>
          <w:rFonts w:ascii="ZWAdobeF" w:hAnsi="ZWAdobeF"/>
          <w:color w:val="auto"/>
          <w:sz w:val="2"/>
          <w:szCs w:val="2"/>
          <w:highlight w:val="yellow"/>
        </w:rPr>
        <w:t>41F</w:t>
      </w:r>
      <w:r w:rsidRPr="00BB2924">
        <w:rPr>
          <w:rStyle w:val="FootnoteReference"/>
          <w:highlight w:val="yellow"/>
        </w:rPr>
        <w:footnoteReference w:id="42"/>
      </w:r>
      <w:r>
        <w:rPr>
          <w:highlight w:val="yellow"/>
        </w:rPr>
        <w:t xml:space="preserve">” című munkadokumentumban közzétett újabb információk szintén felhasználhatók további mutatók meghatározásához. </w:t>
      </w:r>
    </w:p>
    <w:p w:rsidR="00170A1A" w:rsidRPr="00BB2924" w:rsidRDefault="00170A1A" w:rsidP="00A27369">
      <w:pPr>
        <w:pStyle w:val="HHeading5"/>
        <w:rPr>
          <w:highlight w:val="yellow"/>
        </w:rPr>
      </w:pPr>
      <w:r>
        <w:rPr>
          <w:highlight w:val="yellow"/>
        </w:rPr>
        <w:t xml:space="preserve">Az NVH-hoz kapcsolódó programspecifikus értékelési elemek </w:t>
      </w:r>
    </w:p>
    <w:p w:rsidR="00170A1A" w:rsidRPr="00BB2924" w:rsidRDefault="00170A1A" w:rsidP="00A27369">
      <w:pPr>
        <w:pStyle w:val="HStandard"/>
        <w:rPr>
          <w:highlight w:val="yellow"/>
        </w:rPr>
      </w:pPr>
      <w:r>
        <w:rPr>
          <w:highlight w:val="yellow"/>
        </w:rPr>
        <w:t xml:space="preserve">Az NVH-k programspecifikus értékelési elemeit a program irányító hatósága önállóan vagy az NVH-k tagállami érdekelt feleivel (HTE, NVH, értékelők) együttműködve alakítja ki. Az NVH beavatkozási logikájának véglegesítésekor és az NVH-val kapcsolatos monitoring- és értékelési rendszer tervezésekor ezek egészítik ki a közös értékelési elemeket a VFP/NVHP szintjén. Ezzel kapcsolatban: </w:t>
      </w:r>
    </w:p>
    <w:p w:rsidR="00170A1A" w:rsidRPr="00BB2924" w:rsidRDefault="00170A1A" w:rsidP="00A27369">
      <w:pPr>
        <w:pStyle w:val="Hlistbullet"/>
        <w:rPr>
          <w:highlight w:val="yellow"/>
        </w:rPr>
      </w:pPr>
      <w:r>
        <w:rPr>
          <w:highlight w:val="yellow"/>
        </w:rPr>
        <w:t xml:space="preserve">Akkor történik NVH-val kapcsolatos </w:t>
      </w:r>
      <w:r>
        <w:rPr>
          <w:b/>
          <w:highlight w:val="yellow"/>
        </w:rPr>
        <w:t>programspecifikus célkitűzések</w:t>
      </w:r>
      <w:r>
        <w:rPr>
          <w:highlight w:val="yellow"/>
        </w:rPr>
        <w:t xml:space="preserve"> meghatározása, ha az NVH közös célkitűzései</w:t>
      </w:r>
      <w:r>
        <w:rPr>
          <w:rFonts w:ascii="ZWAdobeF" w:hAnsi="ZWAdobeF"/>
          <w:color w:val="auto"/>
          <w:sz w:val="2"/>
          <w:szCs w:val="2"/>
          <w:highlight w:val="yellow"/>
        </w:rPr>
        <w:t>42F</w:t>
      </w:r>
      <w:r w:rsidRPr="00BB2924">
        <w:rPr>
          <w:rStyle w:val="FootnoteReference"/>
          <w:highlight w:val="yellow"/>
        </w:rPr>
        <w:footnoteReference w:id="43"/>
      </w:r>
      <w:r>
        <w:rPr>
          <w:highlight w:val="yellow"/>
        </w:rPr>
        <w:t xml:space="preserve"> nem elegendőek az NVH beavatkozási logikájának kialakításához. </w:t>
      </w:r>
    </w:p>
    <w:p w:rsidR="00170A1A" w:rsidRPr="00BB2924" w:rsidRDefault="00170A1A" w:rsidP="00A27369">
      <w:pPr>
        <w:pStyle w:val="Hlistbullet"/>
        <w:rPr>
          <w:highlight w:val="yellow"/>
        </w:rPr>
      </w:pPr>
      <w:r>
        <w:rPr>
          <w:b/>
          <w:highlight w:val="yellow"/>
        </w:rPr>
        <w:lastRenderedPageBreak/>
        <w:t>Programspecifikus értékelési kérdéseket</w:t>
      </w:r>
      <w:r>
        <w:rPr>
          <w:highlight w:val="yellow"/>
        </w:rPr>
        <w:t xml:space="preserve"> akkor fogalmaznak meg, ha a közös szakpolitikai célkitűzések megvalósulását nem lehet teljes mértékben a közös értékelési kérdések segítségével értékelni, vagy ha az NVH beavatkozási logikája NVH-val kapcsolatos programspecifikus célkitűzéseket tartalmaz. Programspecifikus értékelési kérdések akkor is meghatározhatók, ha az NVH-hoz kapcsolódó konkrét értékelési témákat (például a hálózat végrehajtását stb.) kell alaposabban kidolgozni. A programspecifikus értékelési kérdéseket vagy az NVH-program/-cselekvésiterv tervezésével egy időben, vagy később, az NVH-k értékelése során fogalmazzák meg. A programspecifikus értékelési kérdések pontosíthatók az NVH-beavatkozás sikerességének eldöntésére használt kritériumokkal (értékelési kritériumok). Ha például az a programspecifikus értékelési kérdés, hogy „milyen mértékben járult hozzá az NVH a hálózatépítés kibővítéséhez a vidéki területeken”, meg kell határozni, hogy mi számít sikernek a hálózatépítés bővítése szempontjából: például az érdekeltek több típusának bevonása a hálózatba.</w:t>
      </w:r>
    </w:p>
    <w:p w:rsidR="00170A1A" w:rsidRPr="00BB2924" w:rsidRDefault="00170A1A" w:rsidP="00A27369">
      <w:pPr>
        <w:pStyle w:val="Hlistbullet2"/>
        <w:rPr>
          <w:highlight w:val="yellow"/>
        </w:rPr>
      </w:pPr>
      <w:r>
        <w:rPr>
          <w:highlight w:val="yellow"/>
        </w:rPr>
        <w:t xml:space="preserve">Az NVH-k </w:t>
      </w:r>
      <w:r>
        <w:rPr>
          <w:b/>
          <w:highlight w:val="yellow"/>
        </w:rPr>
        <w:t>programspecifikus mutatói</w:t>
      </w:r>
      <w:r>
        <w:rPr>
          <w:highlight w:val="yellow"/>
        </w:rPr>
        <w:t xml:space="preserve"> konkrét NVH-kimenetekhez, -eredményekhez és -hatásokhoz kapcsolódnak. A programspecifikus mutatókat a programspecifikus értékelési kérdések megválaszolásához hozzák létre. </w:t>
      </w:r>
    </w:p>
    <w:p w:rsidR="00170A1A" w:rsidRPr="00BB2924" w:rsidRDefault="00170A1A" w:rsidP="00A27369">
      <w:pPr>
        <w:pStyle w:val="HStandard"/>
        <w:rPr>
          <w:highlight w:val="yellow"/>
        </w:rPr>
      </w:pPr>
      <w:r>
        <w:rPr>
          <w:highlight w:val="yellow"/>
        </w:rPr>
        <w:t>Az NVH-ra vonatkozó monitoring- és értékelési keret létrehozása a közös értékelési kérdéseknek és mutatóknak az NVH beavatkozási logikájához történő kapcsolásával kezdődik, amely egyrészt a közös és programspecifikus célkitűzésekből, másrészt a várt kimenetekből, eredményekből és hatásokból áll, és ezeket egészítik ki az NVH-ra vonatkozó programspecifikus értékelési kérdések és mutatók. Az alábbi ábra az NVH közös értékelési elemeit foglalja össze, és bemutatja, hogy a tagállamok érdekelt feleinek mely pontokon kell kidolgozniuk az NVH programspecifikus elemeit.</w:t>
      </w:r>
    </w:p>
    <w:p w:rsidR="00170A1A" w:rsidRPr="00BB2924" w:rsidRDefault="00170A1A" w:rsidP="00922CBE">
      <w:pPr>
        <w:pStyle w:val="HHeadingfigures"/>
        <w:rPr>
          <w:highlight w:val="yellow"/>
        </w:rPr>
      </w:pPr>
      <w:bookmarkStart w:id="49" w:name="_Toc445465124"/>
      <w:bookmarkStart w:id="50" w:name="_Ref451784441"/>
      <w:bookmarkStart w:id="51" w:name="_Ref451784713"/>
      <w:bookmarkStart w:id="52" w:name="_Toc464410813"/>
      <w:r>
        <w:rPr>
          <w:highlight w:val="yellow"/>
        </w:rPr>
        <w:t>Az NVH-hoz kapcsolódó, az NVH programspecifikus elemeivel kiegészítendő CMES-elemek áttekintése</w:t>
      </w:r>
      <w:bookmarkEnd w:id="49"/>
      <w:bookmarkEnd w:id="50"/>
      <w:bookmarkEnd w:id="51"/>
      <w:bookmarkEnd w:id="52"/>
      <w:r>
        <w:rPr>
          <w:highlight w:val="yellow"/>
        </w:rPr>
        <w:t xml:space="preserve"> </w:t>
      </w:r>
    </w:p>
    <w:p w:rsidR="00170A1A" w:rsidRPr="00BB2924" w:rsidRDefault="00170A1A" w:rsidP="00BD4B16">
      <w:pPr>
        <w:pStyle w:val="HStandard"/>
        <w:jc w:val="center"/>
        <w:rPr>
          <w:highlight w:val="yellow"/>
        </w:rPr>
      </w:pPr>
      <w:r w:rsidRPr="00186634">
        <w:rPr>
          <w:noProof/>
          <w:lang w:val="en-GB" w:eastAsia="en-GB"/>
        </w:rPr>
        <w:drawing>
          <wp:inline distT="0" distB="0" distL="0" distR="0" wp14:anchorId="6FC32CC8" wp14:editId="2101E56A">
            <wp:extent cx="5731510" cy="3352263"/>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352263"/>
                    </a:xfrm>
                    <a:prstGeom prst="rect">
                      <a:avLst/>
                    </a:prstGeom>
                    <a:noFill/>
                    <a:ln>
                      <a:noFill/>
                    </a:ln>
                  </pic:spPr>
                </pic:pic>
              </a:graphicData>
            </a:graphic>
          </wp:inline>
        </w:drawing>
      </w:r>
    </w:p>
    <w:p w:rsidR="00170A1A" w:rsidRPr="00BB2924" w:rsidRDefault="00170A1A" w:rsidP="004615A0">
      <w:pPr>
        <w:pStyle w:val="HSource"/>
        <w:rPr>
          <w:highlight w:val="yellow"/>
        </w:rPr>
      </w:pPr>
      <w:r>
        <w:rPr>
          <w:highlight w:val="yellow"/>
        </w:rPr>
        <w:t>Forrás: Európai vidékfejlesztési értékelési támogató szolgálat, 2016</w:t>
      </w:r>
    </w:p>
    <w:p w:rsidR="00170A1A" w:rsidRPr="00BB2924" w:rsidRDefault="00170A1A" w:rsidP="00923616">
      <w:pPr>
        <w:pStyle w:val="HStandard"/>
        <w:rPr>
          <w:highlight w:val="yellow"/>
        </w:rPr>
        <w:sectPr w:rsidR="00170A1A" w:rsidRPr="00BB2924" w:rsidSect="007C19BE">
          <w:pgSz w:w="11906" w:h="16838" w:code="9"/>
          <w:pgMar w:top="1440" w:right="1440" w:bottom="1440" w:left="1440" w:header="1134" w:footer="1021" w:gutter="0"/>
          <w:cols w:space="708"/>
          <w:titlePg/>
          <w:docGrid w:linePitch="360"/>
        </w:sectPr>
      </w:pPr>
    </w:p>
    <w:p w:rsidR="00170A1A" w:rsidRPr="00BB2924" w:rsidRDefault="00170A1A" w:rsidP="001249DA">
      <w:pPr>
        <w:pStyle w:val="HHeadingtables"/>
        <w:rPr>
          <w:highlight w:val="yellow"/>
        </w:rPr>
      </w:pPr>
      <w:bookmarkStart w:id="53" w:name="_Toc436383142"/>
      <w:bookmarkStart w:id="54" w:name="_Ref451784860"/>
      <w:bookmarkStart w:id="55" w:name="_Ref451784868"/>
      <w:bookmarkStart w:id="56" w:name="_Toc464410795"/>
      <w:r>
        <w:rPr>
          <w:highlight w:val="yellow"/>
        </w:rPr>
        <w:lastRenderedPageBreak/>
        <w:t xml:space="preserve">Az NVH-k közös értékelési </w:t>
      </w:r>
      <w:bookmarkEnd w:id="53"/>
      <w:r>
        <w:rPr>
          <w:highlight w:val="yellow"/>
        </w:rPr>
        <w:t>kerete</w:t>
      </w:r>
      <w:bookmarkEnd w:id="54"/>
      <w:bookmarkEnd w:id="55"/>
      <w:bookmarkEnd w:id="56"/>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170A1A" w:rsidRPr="00BB2924" w:rsidTr="00DC0897">
        <w:trPr>
          <w:trHeight w:val="406"/>
          <w:tblHeader/>
          <w:jc w:val="center"/>
        </w:trPr>
        <w:tc>
          <w:tcPr>
            <w:tcW w:w="3087" w:type="dxa"/>
            <w:shd w:val="clear" w:color="auto" w:fill="E7E6E6" w:themeFill="background2"/>
            <w:vAlign w:val="center"/>
          </w:tcPr>
          <w:p w:rsidR="00170A1A" w:rsidRPr="00BB2924" w:rsidRDefault="00170A1A" w:rsidP="004615A0">
            <w:pPr>
              <w:pStyle w:val="Htableleftbolt"/>
              <w:jc w:val="center"/>
              <w:rPr>
                <w:color w:val="5B9BD5" w:themeColor="accent1"/>
                <w:highlight w:val="yellow"/>
              </w:rPr>
            </w:pPr>
            <w:r>
              <w:rPr>
                <w:color w:val="5B9BD5" w:themeColor="accent1"/>
                <w:highlight w:val="yellow"/>
              </w:rPr>
              <w:t>SZAKPOLITIKAI CÉLKITŰZÉS</w:t>
            </w:r>
          </w:p>
        </w:tc>
        <w:tc>
          <w:tcPr>
            <w:tcW w:w="2931" w:type="dxa"/>
            <w:shd w:val="clear" w:color="auto" w:fill="E7E6E6" w:themeFill="background2"/>
            <w:vAlign w:val="center"/>
          </w:tcPr>
          <w:p w:rsidR="00170A1A" w:rsidRPr="00BB2924" w:rsidRDefault="00170A1A" w:rsidP="00DC0897">
            <w:pPr>
              <w:pStyle w:val="Htableleftbolt"/>
              <w:jc w:val="center"/>
              <w:rPr>
                <w:color w:val="5B9BD5" w:themeColor="accent1"/>
                <w:highlight w:val="yellow"/>
              </w:rPr>
            </w:pPr>
            <w:r>
              <w:rPr>
                <w:color w:val="5B9BD5" w:themeColor="accent1"/>
                <w:highlight w:val="yellow"/>
              </w:rPr>
              <w:t>AZ NVH-VAL KAPCSOLATOS KÖZÖS ÉRTÉKELÉSI KÉRDÉS</w:t>
            </w:r>
            <w:r>
              <w:rPr>
                <w:rFonts w:ascii="ZWAdobeF" w:hAnsi="ZWAdobeF"/>
                <w:b w:val="0"/>
                <w:color w:val="auto"/>
                <w:sz w:val="2"/>
                <w:szCs w:val="2"/>
                <w:highlight w:val="yellow"/>
              </w:rPr>
              <w:t>43F</w:t>
            </w:r>
            <w:r w:rsidRPr="00BB2924">
              <w:rPr>
                <w:rStyle w:val="FootnoteReference"/>
                <w:color w:val="5B9BD5" w:themeColor="accent1"/>
                <w:highlight w:val="yellow"/>
                <w:lang w:val="en-GB"/>
              </w:rPr>
              <w:footnoteReference w:id="44"/>
            </w:r>
          </w:p>
        </w:tc>
        <w:tc>
          <w:tcPr>
            <w:tcW w:w="2969" w:type="dxa"/>
            <w:shd w:val="clear" w:color="auto" w:fill="E7E6E6" w:themeFill="background2"/>
            <w:vAlign w:val="center"/>
          </w:tcPr>
          <w:p w:rsidR="00170A1A" w:rsidRPr="00BB2924" w:rsidRDefault="00170A1A" w:rsidP="004615A0">
            <w:pPr>
              <w:pStyle w:val="Htableleftbolt"/>
              <w:jc w:val="center"/>
              <w:rPr>
                <w:color w:val="5B9BD5" w:themeColor="accent1"/>
                <w:highlight w:val="yellow"/>
              </w:rPr>
            </w:pPr>
            <w:r>
              <w:rPr>
                <w:color w:val="5B9BD5" w:themeColor="accent1"/>
                <w:highlight w:val="yellow"/>
              </w:rPr>
              <w:t>ÉRTÉKELÉSI KRITÉRIUMOK</w:t>
            </w:r>
            <w:r>
              <w:rPr>
                <w:rFonts w:ascii="ZWAdobeF" w:hAnsi="ZWAdobeF"/>
                <w:b w:val="0"/>
                <w:color w:val="auto"/>
                <w:sz w:val="2"/>
                <w:szCs w:val="2"/>
                <w:highlight w:val="yellow"/>
              </w:rPr>
              <w:t>44F</w:t>
            </w:r>
            <w:r w:rsidRPr="00BB2924">
              <w:rPr>
                <w:rStyle w:val="FootnoteReference"/>
                <w:color w:val="5B9BD5" w:themeColor="accent1"/>
                <w:highlight w:val="yellow"/>
                <w:lang w:val="en-GB"/>
              </w:rPr>
              <w:footnoteReference w:id="45"/>
            </w:r>
          </w:p>
        </w:tc>
        <w:tc>
          <w:tcPr>
            <w:tcW w:w="2378" w:type="dxa"/>
            <w:shd w:val="clear" w:color="auto" w:fill="E7E6E6" w:themeFill="background2"/>
            <w:vAlign w:val="center"/>
          </w:tcPr>
          <w:p w:rsidR="00170A1A" w:rsidRPr="00BB2924" w:rsidRDefault="00170A1A" w:rsidP="00DC0897">
            <w:pPr>
              <w:pStyle w:val="Htableleftbolt"/>
              <w:jc w:val="center"/>
              <w:rPr>
                <w:color w:val="5B9BD5" w:themeColor="accent1"/>
                <w:highlight w:val="yellow"/>
              </w:rPr>
            </w:pPr>
            <w:r>
              <w:rPr>
                <w:color w:val="5B9BD5" w:themeColor="accent1"/>
                <w:highlight w:val="yellow"/>
              </w:rPr>
              <w:t>KÖZÖS MUTATÓK</w:t>
            </w:r>
            <w:r>
              <w:rPr>
                <w:rFonts w:ascii="ZWAdobeF" w:hAnsi="ZWAdobeF"/>
                <w:b w:val="0"/>
                <w:color w:val="auto"/>
                <w:sz w:val="2"/>
                <w:szCs w:val="2"/>
                <w:highlight w:val="yellow"/>
              </w:rPr>
              <w:t>45F</w:t>
            </w:r>
            <w:r w:rsidRPr="00BB2924">
              <w:rPr>
                <w:rStyle w:val="FootnoteReference"/>
                <w:color w:val="5B9BD5" w:themeColor="accent1"/>
                <w:highlight w:val="yellow"/>
                <w:lang w:val="en-GB"/>
              </w:rPr>
              <w:footnoteReference w:id="46"/>
            </w:r>
          </w:p>
        </w:tc>
        <w:tc>
          <w:tcPr>
            <w:tcW w:w="2958" w:type="dxa"/>
            <w:shd w:val="clear" w:color="auto" w:fill="E7E6E6" w:themeFill="background2"/>
            <w:vAlign w:val="center"/>
          </w:tcPr>
          <w:p w:rsidR="00170A1A" w:rsidRPr="00BB2924" w:rsidRDefault="00170A1A" w:rsidP="004615A0">
            <w:pPr>
              <w:pStyle w:val="Htableleftbolt"/>
              <w:jc w:val="center"/>
              <w:rPr>
                <w:color w:val="5B9BD5" w:themeColor="accent1"/>
                <w:highlight w:val="yellow"/>
              </w:rPr>
            </w:pPr>
            <w:r>
              <w:rPr>
                <w:color w:val="5B9BD5" w:themeColor="accent1"/>
                <w:highlight w:val="yellow"/>
              </w:rPr>
              <w:t>KIEGÉSZÍTŐ INFORMÁCIÓK</w:t>
            </w:r>
            <w:r>
              <w:rPr>
                <w:rFonts w:ascii="ZWAdobeF" w:hAnsi="ZWAdobeF"/>
                <w:b w:val="0"/>
                <w:color w:val="auto"/>
                <w:sz w:val="2"/>
                <w:szCs w:val="2"/>
                <w:highlight w:val="yellow"/>
              </w:rPr>
              <w:t>46F</w:t>
            </w:r>
            <w:r w:rsidRPr="00BB2924">
              <w:rPr>
                <w:rStyle w:val="FootnoteReference"/>
                <w:color w:val="5B9BD5" w:themeColor="accent1"/>
                <w:highlight w:val="yellow"/>
                <w:lang w:val="en-GB"/>
              </w:rPr>
              <w:footnoteReference w:id="47"/>
            </w:r>
          </w:p>
        </w:tc>
      </w:tr>
      <w:tr w:rsidR="00170A1A" w:rsidRPr="00BB2924" w:rsidTr="00DC0897">
        <w:trPr>
          <w:trHeight w:val="129"/>
          <w:jc w:val="center"/>
        </w:trPr>
        <w:tc>
          <w:tcPr>
            <w:tcW w:w="3087" w:type="dxa"/>
            <w:shd w:val="clear" w:color="auto" w:fill="auto"/>
            <w:vAlign w:val="center"/>
          </w:tcPr>
          <w:p w:rsidR="00170A1A" w:rsidRPr="00BB2924" w:rsidRDefault="00170A1A" w:rsidP="00CA57FC">
            <w:pPr>
              <w:pStyle w:val="Htableleft"/>
              <w:rPr>
                <w:color w:val="576C88" w:themeColor="text2" w:themeTint="D9"/>
                <w:highlight w:val="yellow"/>
              </w:rPr>
            </w:pPr>
            <w:r>
              <w:rPr>
                <w:color w:val="576C88" w:themeColor="text2" w:themeTint="D9"/>
                <w:highlight w:val="yellow"/>
              </w:rPr>
              <w:t>Az 1305/2013/EU rendelet 54. cikkének (2) bekezdése.</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az érdekelt felek fokozottabb bevonása a vidékfejlesztés végrehajtásába;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vidékfejlesztési programok végrehajtása minőségének javítása;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szélesebb közvéleménynek és a potenciális kedvezményezetteknek a vidékfejlesztési politikáról és a finanszírozási lehetőségekről való tájékoztatása;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az innováció előmozdítása a mezőgazdaságban, az élelmiszer-termelésben, az erdőgazdálkodásban és a vidéki térségekben.</w:t>
            </w:r>
          </w:p>
        </w:tc>
        <w:tc>
          <w:tcPr>
            <w:tcW w:w="2931" w:type="dxa"/>
            <w:shd w:val="clear" w:color="auto" w:fill="auto"/>
            <w:vAlign w:val="center"/>
          </w:tcPr>
          <w:p w:rsidR="00170A1A" w:rsidRPr="00BB2924" w:rsidRDefault="00170A1A" w:rsidP="00CA57FC">
            <w:pPr>
              <w:pStyle w:val="Htableleft"/>
              <w:rPr>
                <w:color w:val="576C88" w:themeColor="text2" w:themeTint="D9"/>
                <w:highlight w:val="yellow"/>
              </w:rPr>
            </w:pPr>
            <w:r>
              <w:rPr>
                <w:color w:val="576C88" w:themeColor="text2" w:themeTint="D9"/>
                <w:highlight w:val="yellow"/>
              </w:rPr>
              <w:t>A nemzeti vidékfejlesztési hálózat milyen mértékben járult hozzá az 1305/2013/EU rendelet 54. cikkének (2) bekezdésében meghatározott célok eléréséhez?</w:t>
            </w:r>
          </w:p>
        </w:tc>
        <w:tc>
          <w:tcPr>
            <w:tcW w:w="2969" w:type="dxa"/>
            <w:shd w:val="clear" w:color="auto" w:fill="auto"/>
            <w:vAlign w:val="center"/>
          </w:tcPr>
          <w:p w:rsidR="00170A1A" w:rsidRPr="00BB2924" w:rsidRDefault="00170A1A" w:rsidP="00CA57FC">
            <w:pPr>
              <w:pStyle w:val="Htablebullet"/>
              <w:rPr>
                <w:color w:val="576C88" w:themeColor="text2" w:themeTint="D9"/>
                <w:highlight w:val="yellow"/>
              </w:rPr>
            </w:pPr>
            <w:r>
              <w:rPr>
                <w:color w:val="576C88" w:themeColor="text2" w:themeTint="D9"/>
                <w:highlight w:val="yellow"/>
              </w:rPr>
              <w:t>A vidékfejlesztési program végrehajtásában nagyobb számú és többféle érdekelt vesz részt az NVH-k tevékenységének köszönhetően;</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VFP végrehajtásának minősége javult az NVH működése révén, ideértve az alábbiakat:</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 xml:space="preserve">nőtt a VFP kedvezményezettjeinek kapacitása, </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javult az értékeléssel kapcsolatos tudatosság,</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programok végrehajtása során figyelembe veszik az értékelésekből levont tanulságokat.</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szélesebb közvélemény és a lehetséges kedvezményezettek az NVH tevékenységeinek köszönhetően ismerik a vidékfejlesztési politikát és a finanszírozási lehetőségeket;</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lastRenderedPageBreak/>
              <w:t>az NVH előmozdította az innovációt a mezőgazdaságban, az élelmiszer-termelésben, az erdőgazdálkodásban és a vidéki térségekben.</w:t>
            </w:r>
          </w:p>
        </w:tc>
        <w:tc>
          <w:tcPr>
            <w:tcW w:w="2378" w:type="dxa"/>
            <w:shd w:val="clear" w:color="auto" w:fill="auto"/>
            <w:vAlign w:val="center"/>
          </w:tcPr>
          <w:p w:rsidR="00170A1A" w:rsidRPr="00BB2924" w:rsidRDefault="00170A1A" w:rsidP="00CA57FC">
            <w:pPr>
              <w:pStyle w:val="Htablebullet"/>
              <w:rPr>
                <w:color w:val="576C88" w:themeColor="text2" w:themeTint="D9"/>
                <w:highlight w:val="yellow"/>
              </w:rPr>
            </w:pPr>
            <w:r>
              <w:rPr>
                <w:color w:val="576C88" w:themeColor="text2" w:themeTint="D9"/>
                <w:highlight w:val="yellow"/>
              </w:rPr>
              <w:lastRenderedPageBreak/>
              <w:t>A tematikus információk és elemzési eredmények felek közötti, az NVH támogatásával létrejött cseréinek száma;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az NVH kommunikációs eszközeinek száma;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az NVH bevonásával végzett EVH-tevékenységek száma.</w:t>
            </w:r>
          </w:p>
        </w:tc>
        <w:tc>
          <w:tcPr>
            <w:tcW w:w="2958" w:type="dxa"/>
            <w:shd w:val="clear" w:color="auto" w:fill="auto"/>
          </w:tcPr>
          <w:p w:rsidR="00170A1A" w:rsidRPr="00BB2924" w:rsidRDefault="00170A1A" w:rsidP="00CA57FC">
            <w:pPr>
              <w:pStyle w:val="Htablebullet"/>
              <w:rPr>
                <w:color w:val="576C88" w:themeColor="text2" w:themeTint="D9"/>
                <w:highlight w:val="yellow"/>
              </w:rPr>
            </w:pPr>
            <w:r>
              <w:rPr>
                <w:color w:val="576C88" w:themeColor="text2" w:themeTint="D9"/>
                <w:highlight w:val="yellow"/>
              </w:rPr>
              <w:t>A VFP megvalósításában az NVH tevékenységének köszönhetően (akár helyi akciócsoportokon keresztül) részt vevő érdekeltek száma (típusonként);</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az értékelés megállapításain alapuló VFP-módosítások száma, valamint az NVH által szervezett tematikus munkacsoportoktól származó javaslatok száma;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vidékfejlesztési program NVH(P)-tevékenységek által ösztönzött, megvalósított projektjeinek százalékos aránya;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a vidékfejlesztési politikáról és a finanszírozási lehetőségekről az NVH kommunikációs eszközei útján tájékoztatott személyek száma;</w:t>
            </w:r>
          </w:p>
          <w:p w:rsidR="00170A1A" w:rsidRPr="00BB2924" w:rsidRDefault="00170A1A" w:rsidP="00CA57FC">
            <w:pPr>
              <w:pStyle w:val="Htablebullet"/>
              <w:rPr>
                <w:color w:val="576C88" w:themeColor="text2" w:themeTint="D9"/>
                <w:highlight w:val="yellow"/>
              </w:rPr>
            </w:pPr>
            <w:r>
              <w:rPr>
                <w:color w:val="576C88" w:themeColor="text2" w:themeTint="D9"/>
                <w:highlight w:val="yellow"/>
              </w:rPr>
              <w:t xml:space="preserve">az NVH által ösztönzött innovatív projektek százalékos aránya a VFP(-k) </w:t>
            </w:r>
            <w:r>
              <w:rPr>
                <w:color w:val="576C88" w:themeColor="text2" w:themeTint="D9"/>
                <w:highlight w:val="yellow"/>
              </w:rPr>
              <w:lastRenderedPageBreak/>
              <w:t xml:space="preserve">által támogatott innovatív projektek teljes számához viszonyítva. </w:t>
            </w:r>
          </w:p>
        </w:tc>
      </w:tr>
    </w:tbl>
    <w:p w:rsidR="00170A1A" w:rsidRPr="00BB2924" w:rsidRDefault="00170A1A" w:rsidP="00923616">
      <w:pPr>
        <w:pStyle w:val="HStandard"/>
        <w:rPr>
          <w:highlight w:val="yellow"/>
        </w:rPr>
        <w:sectPr w:rsidR="00170A1A" w:rsidRPr="00BB292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170A1A" w:rsidRPr="00BB2924" w:rsidRDefault="00170A1A" w:rsidP="00F93622">
      <w:pPr>
        <w:pStyle w:val="HHeading1"/>
        <w:rPr>
          <w:rFonts w:cs="Arial"/>
          <w:highlight w:val="yellow"/>
        </w:rPr>
      </w:pPr>
      <w:bookmarkStart w:id="57" w:name="_Toc464410785"/>
      <w:r>
        <w:rPr>
          <w:caps w:val="0"/>
          <w:highlight w:val="yellow"/>
        </w:rPr>
        <w:lastRenderedPageBreak/>
        <w:t>I. RÉSZ – AZ NVH-ÉRTÉKELÉS LEBONYOLÍTÁSA</w:t>
      </w:r>
      <w:bookmarkEnd w:id="57"/>
    </w:p>
    <w:p w:rsidR="00170A1A" w:rsidRPr="00BB2924" w:rsidRDefault="00170A1A" w:rsidP="00BF5E8F">
      <w:pPr>
        <w:pStyle w:val="HHeading5"/>
        <w:rPr>
          <w:color w:val="A5A5A5" w:themeColor="accent3"/>
          <w:highlight w:val="yellow"/>
        </w:rPr>
      </w:pPr>
      <w:bookmarkStart w:id="58" w:name="_Toc391484185"/>
      <w:r>
        <w:rPr>
          <w:color w:val="A5A5A5" w:themeColor="accent3"/>
          <w:highlight w:val="yellow"/>
        </w:rPr>
        <w:t>Kinek szól az I. rész?</w:t>
      </w:r>
    </w:p>
    <w:p w:rsidR="00170A1A" w:rsidRPr="00BB2924" w:rsidRDefault="00170A1A" w:rsidP="00461BF0">
      <w:pPr>
        <w:pStyle w:val="HStandard"/>
        <w:spacing w:after="0"/>
        <w:rPr>
          <w:highlight w:val="yellow"/>
        </w:rPr>
      </w:pPr>
      <w:r>
        <w:rPr>
          <w:b/>
          <w:color w:val="E7E6E6" w:themeColor="background2"/>
          <w:highlight w:val="yellow"/>
        </w:rPr>
        <w:t>Az I. rész</w:t>
      </w:r>
      <w:r>
        <w:rPr>
          <w:highlight w:val="yellow"/>
        </w:rPr>
        <w:t xml:space="preserve"> főként az irányító hatóságoknak és a HTE-nek mint az NVH-értékelés megbízójának szól, de az NVH-értékelés tervezésében és előkészítésében érdekelt más felek is hasznosíthatják azt. Különösen hasznos lehet az értékeléshez használt feladatmeghatározás kidolgozásában részt vevő tisztviselők és szakértők, valamint az NVH irányításába bevont személyek számára is.</w:t>
      </w:r>
    </w:p>
    <w:p w:rsidR="00170A1A" w:rsidRPr="00BB2924" w:rsidRDefault="00170A1A" w:rsidP="00BF5E8F">
      <w:pPr>
        <w:pStyle w:val="HHeading5"/>
        <w:rPr>
          <w:color w:val="A5A5A5" w:themeColor="accent3"/>
          <w:highlight w:val="yellow"/>
        </w:rPr>
      </w:pPr>
      <w:r>
        <w:rPr>
          <w:color w:val="A5A5A5" w:themeColor="accent3"/>
          <w:highlight w:val="yellow"/>
        </w:rPr>
        <w:t>Az I. rész felépítése</w:t>
      </w:r>
    </w:p>
    <w:p w:rsidR="00170A1A" w:rsidRPr="00BB2924" w:rsidRDefault="00170A1A" w:rsidP="00470DEA">
      <w:pPr>
        <w:pStyle w:val="HStandard"/>
        <w:spacing w:after="0"/>
        <w:rPr>
          <w:highlight w:val="yellow"/>
        </w:rPr>
      </w:pPr>
      <w:r>
        <w:rPr>
          <w:b/>
          <w:color w:val="E7E6E6" w:themeColor="background2"/>
          <w:highlight w:val="yellow"/>
        </w:rPr>
        <w:t>Az I. rész</w:t>
      </w:r>
      <w:r>
        <w:rPr>
          <w:highlight w:val="yellow"/>
        </w:rPr>
        <w:t xml:space="preserve"> elmagyarázza az NVH-k értékelésében már jelenleg is vagy a jövőben esetleg részt vevő minden érdekelt szerepét és feladatait. Ismerteti továbbá az NVH-k értékelésének főbb lépéseit, például a értékelés tervezését, előkészítését és lebonyolítását, valamint a kapott eredmények terjesztését, ismertetését és nyomon követését. </w:t>
      </w:r>
    </w:p>
    <w:p w:rsidR="00170A1A" w:rsidRPr="00BB2924" w:rsidRDefault="00170A1A" w:rsidP="00680DA9">
      <w:pPr>
        <w:pStyle w:val="HHeading2"/>
        <w:rPr>
          <w:highlight w:val="yellow"/>
        </w:rPr>
      </w:pPr>
      <w:bookmarkStart w:id="59" w:name="_Toc464410786"/>
      <w:r>
        <w:rPr>
          <w:highlight w:val="yellow"/>
        </w:rPr>
        <w:t>Kik és milyen szerepben vesznek részt az NVH-k értékelésében?</w:t>
      </w:r>
      <w:bookmarkEnd w:id="58"/>
      <w:bookmarkEnd w:id="59"/>
    </w:p>
    <w:p w:rsidR="00170A1A" w:rsidRPr="00BB2924" w:rsidRDefault="00170A1A" w:rsidP="00DC0897">
      <w:pPr>
        <w:pStyle w:val="HStandard"/>
        <w:rPr>
          <w:highlight w:val="yellow"/>
        </w:rPr>
      </w:pPr>
      <w:r>
        <w:rPr>
          <w:highlight w:val="yellow"/>
        </w:rPr>
        <w:t xml:space="preserve">A tagállamokban számos szereplő működik együtt az NVH-k különböző területein. Ennek eredményeként igen változatos kategóriákba sorolhatók az NVH-értékelésbe elvileg bevonható szereplők, nevezetesen a hálózatot irányító, a hálózatban részt vevő és a hálózatot értékelő szereplők. </w:t>
      </w:r>
    </w:p>
    <w:p w:rsidR="00170A1A" w:rsidRPr="00BB2924" w:rsidRDefault="00170A1A" w:rsidP="007134D0">
      <w:pPr>
        <w:pStyle w:val="HStandard"/>
        <w:rPr>
          <w:highlight w:val="yellow"/>
        </w:rPr>
      </w:pPr>
      <w:r>
        <w:rPr>
          <w:highlight w:val="yellow"/>
        </w:rPr>
        <w:t xml:space="preserve">Fontos megjegyezni, hogy bizonyos szereplőknek a hálózatban több különböző feladatkörük is lehet, például szociális partner képviselője lehet helyi akciócsoport tagja is egyben. Hasonlóképpen a monitoringbizottság feladata a VFP – és ezen belül az NVH – ellenőrzése. Ugyanakkor ő maga is tagja az NVH-nak. </w:t>
      </w:r>
    </w:p>
    <w:p w:rsidR="00170A1A" w:rsidRPr="00BB2924" w:rsidRDefault="00170A1A" w:rsidP="007134D0">
      <w:pPr>
        <w:pStyle w:val="HStandard"/>
        <w:rPr>
          <w:highlight w:val="yellow"/>
        </w:rPr>
      </w:pPr>
      <w:r>
        <w:rPr>
          <w:highlight w:val="yellow"/>
        </w:rPr>
        <w:t>A szereplők feladatkörét az is befolyásolja továbbá, hogy a szóban forgó értékelés az NVH-t a VFP részeként vizsgálja, vagy önálló értékelés. Mivel az önálló értékelések nagyobb mértékben összpontosítanak az NVH-ra, a hálózatot irányító és abban részt vevő szereplőknek nagyobb szerep és felelősség jut azokhoz az esetekhez viszonyítva, amelyekben az NVH-t a VFP részeként értékelik. Ezenkívül az irányító hatóság és a HTE feladatai eltérőek, méghozzá attól függően, hogy melyik adja ki a megbízást az értékelésre (az irányító hatóság vagy a HTE). Ez pedig meghatározza azt, hogy ki felel az NVH értékeléséért, és ki rendelkezhet az NVH-értékelés költségvetése felett. Előfordulhat az is, hogy a HTE-nek csak korlátozottabb értékelést lehetővé tevő kis értékelési költségvetés áll rendelkezésére, de az NVH átfogó értékelését az irányító hatóság értékelési költségvetéséből fedezik.</w:t>
      </w:r>
    </w:p>
    <w:p w:rsidR="00170A1A" w:rsidRPr="00BB2924" w:rsidRDefault="00170A1A" w:rsidP="00B35926">
      <w:pPr>
        <w:pStyle w:val="HHeading3"/>
        <w:rPr>
          <w:highlight w:val="yellow"/>
        </w:rPr>
      </w:pPr>
      <w:bookmarkStart w:id="60" w:name="_Toc464410787"/>
      <w:r>
        <w:rPr>
          <w:highlight w:val="yellow"/>
        </w:rPr>
        <w:t>A hálózat működtetésébe bevont szereplők</w:t>
      </w:r>
      <w:bookmarkEnd w:id="60"/>
    </w:p>
    <w:p w:rsidR="00170A1A" w:rsidRPr="00BB2924" w:rsidRDefault="00170A1A" w:rsidP="00B35926">
      <w:pPr>
        <w:pStyle w:val="HHeading5"/>
        <w:rPr>
          <w:highlight w:val="yellow"/>
        </w:rPr>
      </w:pPr>
      <w:r>
        <w:rPr>
          <w:highlight w:val="yellow"/>
        </w:rPr>
        <w:t>Irányító hatóság</w:t>
      </w:r>
      <w:r>
        <w:rPr>
          <w:rFonts w:ascii="ZWAdobeF" w:hAnsi="ZWAdobeF"/>
          <w:b w:val="0"/>
          <w:color w:val="auto"/>
          <w:sz w:val="2"/>
          <w:szCs w:val="2"/>
          <w:highlight w:val="yellow"/>
        </w:rPr>
        <w:t>47F</w:t>
      </w:r>
      <w:r w:rsidRPr="00BB2924">
        <w:rPr>
          <w:rStyle w:val="FootnoteReference"/>
          <w:highlight w:val="yellow"/>
        </w:rPr>
        <w:footnoteReference w:id="48"/>
      </w:r>
    </w:p>
    <w:p w:rsidR="00170A1A" w:rsidRPr="00BB2924" w:rsidRDefault="00170A1A" w:rsidP="007134D0">
      <w:pPr>
        <w:pStyle w:val="HStandard"/>
        <w:rPr>
          <w:highlight w:val="yellow"/>
        </w:rPr>
      </w:pPr>
      <w:r>
        <w:rPr>
          <w:highlight w:val="yellow"/>
        </w:rPr>
        <w:t xml:space="preserve">A VFP és NVHP irányító hatósága felel az értékelési terv előkészítéséért, finanszírozásáért, irányításáért és megvalósításáért. A VFP értékelési terve az NVH értékelésére vonatkozó rendelkezéseket is tartalmaz. Az irányító hatóság felelős továbbá az NVH-értékelés eredményeinek minőségéért, pontosságáért és ismertetéséért (a VFP részeként vagy önálló értékelés keretében), valamint a hálózati teljesítmény monitoringjáért. Ha az NVH-t a VFP részeként értékelik, illetve ha az irányító hatóság megbízást ad az NVH vagy az NVHP önálló értékelésére, az irányító hatóság tölti be a megbízó szerepét, és így az felel az értékelés megtervezéséért, előkészítéséért és minőség-ellenőrzéséért. </w:t>
      </w:r>
    </w:p>
    <w:p w:rsidR="00170A1A" w:rsidRPr="00BB2924" w:rsidRDefault="00170A1A" w:rsidP="007134D0">
      <w:pPr>
        <w:pStyle w:val="HStandard"/>
        <w:rPr>
          <w:highlight w:val="yellow"/>
        </w:rPr>
      </w:pPr>
      <w:r>
        <w:rPr>
          <w:highlight w:val="yellow"/>
        </w:rPr>
        <w:t xml:space="preserve">Bizonyos tagállamokban előfordulhat, hogy a VFP megvalósításáért felelős minisztérium nem az irányító hatóságra, hanem más egységekre bízza az NVH-értékelés bizonyos feladatait. Az értékelési </w:t>
      </w:r>
      <w:r>
        <w:rPr>
          <w:highlight w:val="yellow"/>
        </w:rPr>
        <w:lastRenderedPageBreak/>
        <w:t>egység végezheti például az NVH-értékeléssel kapcsolatos irányítási, előkészítési, megbízási és minőség-ellenőrzési műveleteket. A kommunikációs egység pedig adott esetben együttműködhet az NVH-val az értékelés eredményeinek terjesztésében.</w:t>
      </w:r>
    </w:p>
    <w:p w:rsidR="00170A1A" w:rsidRPr="00BB2924" w:rsidRDefault="00170A1A" w:rsidP="00B35926">
      <w:pPr>
        <w:pStyle w:val="HHeading5"/>
        <w:rPr>
          <w:highlight w:val="yellow"/>
        </w:rPr>
      </w:pPr>
      <w:r>
        <w:rPr>
          <w:highlight w:val="yellow"/>
        </w:rPr>
        <w:t>Hálózattámogató egység (HTE)</w:t>
      </w:r>
      <w:r>
        <w:rPr>
          <w:rFonts w:ascii="ZWAdobeF" w:hAnsi="ZWAdobeF"/>
          <w:b w:val="0"/>
          <w:color w:val="auto"/>
          <w:sz w:val="2"/>
          <w:szCs w:val="2"/>
          <w:highlight w:val="yellow"/>
        </w:rPr>
        <w:t>48F</w:t>
      </w:r>
      <w:r w:rsidRPr="00BB2924">
        <w:rPr>
          <w:rStyle w:val="FootnoteReference"/>
          <w:highlight w:val="yellow"/>
        </w:rPr>
        <w:footnoteReference w:id="49"/>
      </w:r>
    </w:p>
    <w:p w:rsidR="00170A1A" w:rsidRPr="00BB2924" w:rsidRDefault="00170A1A" w:rsidP="007134D0">
      <w:pPr>
        <w:pStyle w:val="HStandard"/>
        <w:rPr>
          <w:highlight w:val="yellow"/>
        </w:rPr>
      </w:pPr>
      <w:r>
        <w:rPr>
          <w:highlight w:val="yellow"/>
        </w:rPr>
        <w:t>Vannak tagállamok, amelyekben a HTE az irányító hatóságon belül található, míg más tagállamokban a HTE feladatainak ellátására különböző alvállalkozókkal (közintézményekkel</w:t>
      </w:r>
      <w:r>
        <w:rPr>
          <w:rFonts w:ascii="ZWAdobeF" w:hAnsi="ZWAdobeF"/>
          <w:color w:val="auto"/>
          <w:sz w:val="2"/>
          <w:szCs w:val="2"/>
          <w:highlight w:val="yellow"/>
        </w:rPr>
        <w:t>49F</w:t>
      </w:r>
      <w:r w:rsidRPr="00BB2924">
        <w:rPr>
          <w:rStyle w:val="FootnoteReference"/>
          <w:highlight w:val="yellow"/>
        </w:rPr>
        <w:footnoteReference w:id="50"/>
      </w:r>
      <w:r>
        <w:rPr>
          <w:highlight w:val="yellow"/>
        </w:rPr>
        <w:t>, tanácsadó magántársaságokkal</w:t>
      </w:r>
      <w:r>
        <w:rPr>
          <w:rFonts w:ascii="ZWAdobeF" w:hAnsi="ZWAdobeF"/>
          <w:color w:val="auto"/>
          <w:sz w:val="2"/>
          <w:szCs w:val="2"/>
          <w:highlight w:val="yellow"/>
        </w:rPr>
        <w:t>50F</w:t>
      </w:r>
      <w:r w:rsidRPr="00BB2924">
        <w:rPr>
          <w:rStyle w:val="FootnoteReference"/>
          <w:highlight w:val="yellow"/>
        </w:rPr>
        <w:footnoteReference w:id="51"/>
      </w:r>
      <w:r>
        <w:rPr>
          <w:highlight w:val="yellow"/>
        </w:rPr>
        <w:t xml:space="preserve"> stb.) kötnek szerződést. Azokban az országokban, amelyekben az NVH régiókra osztott, a HTE fontos szerepet tölt be a hálózat regionális szinten történő működtetésében. A HTE alapvető szerepet tölt be a hálózat tevékenységeinek ösztönzésében és a hálózat működtetésében, valamint az érdekeltek bevonásában. A HTE létrehozása azonban önmagában nem alakítja ki a hálózatot, és nem is biztosítja automatikusan a hálózatépítést</w:t>
      </w:r>
      <w:r>
        <w:rPr>
          <w:rFonts w:ascii="ZWAdobeF" w:hAnsi="ZWAdobeF"/>
          <w:color w:val="auto"/>
          <w:sz w:val="2"/>
          <w:szCs w:val="2"/>
          <w:highlight w:val="yellow"/>
        </w:rPr>
        <w:t>51F</w:t>
      </w:r>
      <w:r w:rsidRPr="00BB2924">
        <w:rPr>
          <w:rStyle w:val="FootnoteReference"/>
          <w:highlight w:val="yellow"/>
        </w:rPr>
        <w:footnoteReference w:id="52"/>
      </w:r>
      <w:r>
        <w:rPr>
          <w:highlight w:val="yellow"/>
        </w:rPr>
        <w:t xml:space="preserve">. </w:t>
      </w:r>
    </w:p>
    <w:p w:rsidR="00170A1A" w:rsidRPr="00BB2924" w:rsidRDefault="00170A1A" w:rsidP="007134D0">
      <w:pPr>
        <w:pStyle w:val="HStandard"/>
        <w:rPr>
          <w:highlight w:val="yellow"/>
        </w:rPr>
      </w:pPr>
      <w:r>
        <w:rPr>
          <w:highlight w:val="yellow"/>
        </w:rPr>
        <w:t xml:space="preserve">A HTE opcionális NVH-önértékelést is előkészíthet és végrehajthat, hogy ezáltal javítsa an NVH tevékenységeinek végrehajtását és teljesítményét. A HTE megbízást adhat az NVH önálló értékelésére is, amely esetben a HTE felel az értékelés megtervezéséért és előkészítéséért. A HTE csak akkor adhat megbízást értékelések végrehajtására, ha megfelelő kapacitással és költségvetéssel rendelkezik a saját független értékeléseivel kapcsolatos előkészítés, irányítás és minőség-ellenőrzés végrehajtásához. Amennyiben az irányító hatóság az értékelés megbízója, a HTE lesz az egyik fő érdekelt, és támogatást nyújt az irányító hatóságnak az értékelés tervezésében és előkészítésében. A HTE fontos adatszolgáltatója az összes NVH(P)-értékelésnek. </w:t>
      </w:r>
    </w:p>
    <w:p w:rsidR="00170A1A" w:rsidRPr="00BB2924" w:rsidRDefault="00170A1A" w:rsidP="00B35926">
      <w:pPr>
        <w:pStyle w:val="HHeading5"/>
        <w:rPr>
          <w:highlight w:val="yellow"/>
        </w:rPr>
      </w:pPr>
      <w:r>
        <w:rPr>
          <w:highlight w:val="yellow"/>
        </w:rPr>
        <w:t>Kifizető ügynökség</w:t>
      </w:r>
      <w:r>
        <w:rPr>
          <w:rFonts w:ascii="ZWAdobeF" w:hAnsi="ZWAdobeF"/>
          <w:b w:val="0"/>
          <w:color w:val="auto"/>
          <w:sz w:val="2"/>
          <w:szCs w:val="2"/>
          <w:highlight w:val="yellow"/>
        </w:rPr>
        <w:t>52F</w:t>
      </w:r>
      <w:r w:rsidRPr="00BB2924">
        <w:rPr>
          <w:rStyle w:val="FootnoteReference"/>
          <w:highlight w:val="yellow"/>
        </w:rPr>
        <w:footnoteReference w:id="53"/>
      </w:r>
    </w:p>
    <w:p w:rsidR="00170A1A" w:rsidRPr="00BB2924" w:rsidRDefault="00170A1A" w:rsidP="007134D0">
      <w:pPr>
        <w:pStyle w:val="HStandard"/>
        <w:rPr>
          <w:highlight w:val="yellow"/>
        </w:rPr>
      </w:pPr>
      <w:r>
        <w:rPr>
          <w:highlight w:val="yellow"/>
        </w:rPr>
        <w:t>A kifizető ügynökség fontos adatforrást jelent az NVH-értékeléseknél, hiszen általában információkkal rendelkezik a program végrehajtásával (kifizetésekkel, kedvezményezettekkel, monitoringadatokkal, ellenőrzésekkel) kapcsolatosan, ideértve az NVH-ra vonatkozó információkat is. Tagállamonként eltérő, hogy egy vagy több kifizető ügynökség létezik-e.</w:t>
      </w:r>
    </w:p>
    <w:p w:rsidR="00170A1A" w:rsidRPr="00BB2924" w:rsidRDefault="00170A1A" w:rsidP="00B35926">
      <w:pPr>
        <w:pStyle w:val="HHeading5"/>
        <w:rPr>
          <w:highlight w:val="yellow"/>
        </w:rPr>
      </w:pPr>
      <w:r>
        <w:rPr>
          <w:highlight w:val="yellow"/>
        </w:rPr>
        <w:t>Monitoringbizottság</w:t>
      </w:r>
      <w:r>
        <w:rPr>
          <w:rFonts w:ascii="ZWAdobeF" w:hAnsi="ZWAdobeF"/>
          <w:b w:val="0"/>
          <w:color w:val="auto"/>
          <w:sz w:val="2"/>
          <w:szCs w:val="2"/>
          <w:highlight w:val="yellow"/>
        </w:rPr>
        <w:t>53F</w:t>
      </w:r>
      <w:r w:rsidRPr="00BB2924">
        <w:rPr>
          <w:rStyle w:val="FootnoteReference"/>
          <w:highlight w:val="yellow"/>
        </w:rPr>
        <w:footnoteReference w:id="54"/>
      </w:r>
    </w:p>
    <w:p w:rsidR="00170A1A" w:rsidRPr="00BB2924" w:rsidRDefault="00170A1A" w:rsidP="007134D0">
      <w:pPr>
        <w:pStyle w:val="HStandard"/>
        <w:rPr>
          <w:highlight w:val="yellow"/>
        </w:rPr>
      </w:pPr>
      <w:r>
        <w:rPr>
          <w:highlight w:val="yellow"/>
        </w:rPr>
        <w:t>A monitoringbizottság felel a program teljesítményének</w:t>
      </w:r>
      <w:r>
        <w:rPr>
          <w:rFonts w:ascii="ZWAdobeF" w:hAnsi="ZWAdobeF"/>
          <w:color w:val="auto"/>
          <w:sz w:val="2"/>
          <w:szCs w:val="2"/>
          <w:highlight w:val="yellow"/>
        </w:rPr>
        <w:t>54F</w:t>
      </w:r>
      <w:r w:rsidRPr="00BB2924">
        <w:rPr>
          <w:rStyle w:val="FootnoteReference"/>
          <w:highlight w:val="yellow"/>
        </w:rPr>
        <w:footnoteReference w:id="55"/>
      </w:r>
      <w:r>
        <w:rPr>
          <w:highlight w:val="yellow"/>
        </w:rPr>
        <w:t xml:space="preserve">, valamint a program végrehajtása minőségének és eredményességének monitoringjáért. Az NVHP-nek saját monitoringbizottsága van. Abban az esetben, ha az NVH a VFP részeként működik, a program monitoringbizottsága felelős az NVH monitoringjáért is. </w:t>
      </w:r>
    </w:p>
    <w:p w:rsidR="00170A1A" w:rsidRPr="00BB2924" w:rsidRDefault="00170A1A" w:rsidP="007134D0">
      <w:pPr>
        <w:pStyle w:val="HStandard"/>
        <w:rPr>
          <w:highlight w:val="yellow"/>
        </w:rPr>
      </w:pPr>
      <w:r>
        <w:rPr>
          <w:highlight w:val="yellow"/>
        </w:rPr>
        <w:t>A monitoringbizottságnak ezenfelül meg kell vizsgálnia az értékelési terv végrehajtásában elért előrehaladással kapcsolatos tevékenységeket és kimeneteket, ideértve az NVH értékelésének tevékenységeit is. Másrészről a monitoringbizottság tagjai gyakran vesznek részt az NVH-ban, hogy információt cseréljenek a program végrehajtására vonatkozóan</w:t>
      </w:r>
      <w:r>
        <w:rPr>
          <w:rFonts w:ascii="ZWAdobeF" w:hAnsi="ZWAdobeF"/>
          <w:color w:val="auto"/>
          <w:sz w:val="2"/>
          <w:szCs w:val="2"/>
          <w:highlight w:val="yellow"/>
        </w:rPr>
        <w:t>55F</w:t>
      </w:r>
      <w:r w:rsidRPr="00BB2924">
        <w:rPr>
          <w:rStyle w:val="FootnoteReference"/>
          <w:highlight w:val="yellow"/>
        </w:rPr>
        <w:footnoteReference w:id="56"/>
      </w:r>
      <w:r>
        <w:rPr>
          <w:highlight w:val="yellow"/>
        </w:rPr>
        <w:t>, amelybe ebben a tekintetben beletartozik az NVH tevékenysége is.</w:t>
      </w:r>
    </w:p>
    <w:p w:rsidR="00170A1A" w:rsidRPr="00BB2924" w:rsidRDefault="00170A1A" w:rsidP="00B35926">
      <w:pPr>
        <w:pStyle w:val="HHeading5"/>
        <w:rPr>
          <w:highlight w:val="yellow"/>
        </w:rPr>
      </w:pPr>
      <w:r>
        <w:rPr>
          <w:highlight w:val="yellow"/>
        </w:rPr>
        <w:lastRenderedPageBreak/>
        <w:t>Az NVH koordináló szerve</w:t>
      </w:r>
      <w:r>
        <w:rPr>
          <w:rFonts w:ascii="ZWAdobeF" w:hAnsi="ZWAdobeF"/>
          <w:b w:val="0"/>
          <w:color w:val="auto"/>
          <w:sz w:val="2"/>
          <w:szCs w:val="2"/>
          <w:highlight w:val="yellow"/>
        </w:rPr>
        <w:t>56F</w:t>
      </w:r>
      <w:r w:rsidRPr="00BB2924">
        <w:rPr>
          <w:rStyle w:val="FootnoteReference"/>
          <w:highlight w:val="yellow"/>
        </w:rPr>
        <w:footnoteReference w:id="57"/>
      </w:r>
    </w:p>
    <w:p w:rsidR="00170A1A" w:rsidRPr="00BB2924" w:rsidRDefault="00170A1A" w:rsidP="007134D0">
      <w:pPr>
        <w:pStyle w:val="HStandard"/>
        <w:rPr>
          <w:highlight w:val="yellow"/>
        </w:rPr>
      </w:pPr>
      <w:r>
        <w:rPr>
          <w:highlight w:val="yellow"/>
        </w:rPr>
        <w:t>Az NVH-k egy része NVH-koordináló szervet hozott létre az NVH kiválasztott tagjainak részvételével. Ebben az esetben az NVH koordináló szerve közreműködik az NVH tevékenységeinek tervezésében, és irányítja a cselekvési tervet. Az NVH koordináló szerve határozhat úgy, hogy NVH-önértékelést hajt végre, és információnyújtással támogatja az NVH értékelését. A koordináló szerv egyik fontos feladata annak biztosítása, hogy az önértékelés és az értékelés eredményeit figyelembe vegyék az NVH-cselekvésiterv végrehajtásának javításához.</w:t>
      </w:r>
    </w:p>
    <w:p w:rsidR="00170A1A" w:rsidRPr="00BB2924" w:rsidRDefault="00170A1A" w:rsidP="009918A8">
      <w:pPr>
        <w:pStyle w:val="HHeadingboxes"/>
        <w:rPr>
          <w:highlight w:val="yellow"/>
        </w:rPr>
      </w:pPr>
      <w:bookmarkStart w:id="61" w:name="_Toc464410821"/>
      <w:r>
        <w:rPr>
          <w:highlight w:val="yellow"/>
        </w:rPr>
        <w:t>Értékelésirányító csoport: az értékelési folyamat kezelésének eszköze</w:t>
      </w:r>
      <w:bookmarkEnd w:id="61"/>
    </w:p>
    <w:p w:rsidR="00170A1A" w:rsidRPr="00BB2924" w:rsidRDefault="00170A1A"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Az értékelésirányító csoport létrehozása bevált gyakorlatnak számít az érdekeltek közötti konzultáció megkönnyítése és koordinálása, valamint az értékelési folyamat kezelése érdekében. Az értékelésirányító csoport segíti az irányító hatóságot az értékelési folyamat irányának kijelölésében, valamint előrehaladásának és minőségének rendszeres ellenőrzésében. Az értékelésirányító csoport tagjai jártasságukkal és szakértelmükkel járulhatnak hozzá a tevékenységhez, és segíthetnek biztosítani az adatokhoz, információkhoz és illetékes kapcsolattartókhoz való hozzáférést az értékelők számára. </w:t>
      </w:r>
    </w:p>
    <w:p w:rsidR="00170A1A" w:rsidRPr="00707CD8" w:rsidRDefault="00170A1A"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170A1A" w:rsidRPr="00BB2924" w:rsidRDefault="00170A1A"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Az értékelésirányító csoportot rendszerint az irányító hatóság hívja össze; a csoport ülésein az irányító hatóság elnököl, és egyben ismerteti a működésével kapcsolatos eljárásokat. Mivel időbe telhet a csoport kialakítása, azt a folyamat korai szakaszában kell létrehozni. Az értékelésirányító csoport összetétele az NVH sajátosságaitól és a csoport számára meghatározott feladatoktól függ. Az értékelésirányító csoportba mindenképpen be kell vonni legalább az irányító hatóságot (illetékes osztályokat/egységeket) képviselő személyeket, valamint az NVH működtetésében közreműködő egyéb szereplőket, a kifizető ügynökség képviselőt és – adott esetben – az értékelő egység tagjait. Az értékelésirányító csoportnak nincs ideális mérete. Elég nagynak kell lennie ahhoz, hogy rendelkezésre álljon a szükséges jártasság és tudás, de mérete nem szabad, hogy akadályozza a hatékonyságot.</w:t>
      </w:r>
    </w:p>
    <w:p w:rsidR="00170A1A" w:rsidRPr="00707CD8" w:rsidRDefault="00170A1A"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170A1A" w:rsidRPr="00BB2924" w:rsidRDefault="00170A1A"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Az értékelésirányító csoport létrehozása nem kötelező, és az nem hajtja végre az értékelés javaslatait. Ezt a hatáskört az irányító hatóság, a HTE és az NVH irányító szervei gyakorolják.</w:t>
      </w:r>
    </w:p>
    <w:p w:rsidR="00170A1A" w:rsidRPr="00BB2924" w:rsidRDefault="00170A1A" w:rsidP="00B35926">
      <w:pPr>
        <w:pStyle w:val="HHeading3"/>
        <w:rPr>
          <w:highlight w:val="yellow"/>
        </w:rPr>
      </w:pPr>
      <w:bookmarkStart w:id="62" w:name="_Toc464410788"/>
      <w:r>
        <w:rPr>
          <w:highlight w:val="yellow"/>
        </w:rPr>
        <w:t>A hálózat tagjai</w:t>
      </w:r>
      <w:bookmarkEnd w:id="62"/>
    </w:p>
    <w:p w:rsidR="00170A1A" w:rsidRPr="00BB2924" w:rsidRDefault="00170A1A" w:rsidP="007134D0">
      <w:pPr>
        <w:pStyle w:val="HStandard"/>
        <w:rPr>
          <w:highlight w:val="yellow"/>
        </w:rPr>
      </w:pPr>
      <w:r>
        <w:rPr>
          <w:highlight w:val="yellow"/>
        </w:rPr>
        <w:t>Az NVH tagsága tagállamonként változik a nemzeti szabályozás és gyakorlat függvényében (például nyitott/korlátozott NVH-tagság). Az NVH tagjai fontosak az értékelés szempontjából, hiszen egyben az NVH kedvezményezettjei is, és részt vehetnek az NVH-val és annak működésével kapcsolatos felmérésekben, fókuszcsoportokban és értékelési munkaértekezleteken. A hálózat tagjai közül sokan kedvezményezettjei a VFP-nek. A tagok ráadásul aktív szerepet is vállalhatnak az NVH tevékenységeinek működtetésében, különösen azokban tagállamokban, amelyekben az NVH tevékenységei nem korlátozódnak a HTE által szervezettekre. A hálózat tagjai NVH-önértékelés végrehajtását javasolhatják, és aktívan részt vehetnek abban. Az alábbi, nem teljes körű lista az NVH-kban jellemzően részt vevő tagokat mutatja be.</w:t>
      </w:r>
    </w:p>
    <w:p w:rsidR="00170A1A" w:rsidRPr="00BB2924" w:rsidRDefault="00170A1A" w:rsidP="00B35926">
      <w:pPr>
        <w:pStyle w:val="HHeading5"/>
        <w:rPr>
          <w:highlight w:val="yellow"/>
        </w:rPr>
      </w:pPr>
      <w:r>
        <w:rPr>
          <w:highlight w:val="yellow"/>
        </w:rPr>
        <w:t>Helyi akciócsoportok (HACS-k)</w:t>
      </w:r>
    </w:p>
    <w:p w:rsidR="00170A1A" w:rsidRPr="00BB2924" w:rsidRDefault="00170A1A" w:rsidP="007134D0">
      <w:pPr>
        <w:pStyle w:val="HStandard"/>
        <w:rPr>
          <w:highlight w:val="yellow"/>
        </w:rPr>
      </w:pPr>
      <w:r>
        <w:rPr>
          <w:highlight w:val="yellow"/>
        </w:rPr>
        <w:t>A HACS-k az NVH fontos részét képezik. Az NVH képzéseinek és hálózatépítési intézkedéseinek kedvezményezettjei is egyben</w:t>
      </w:r>
      <w:r>
        <w:rPr>
          <w:rFonts w:ascii="ZWAdobeF" w:hAnsi="ZWAdobeF"/>
          <w:color w:val="auto"/>
          <w:sz w:val="2"/>
          <w:szCs w:val="2"/>
          <w:highlight w:val="yellow"/>
        </w:rPr>
        <w:t>57F</w:t>
      </w:r>
      <w:r w:rsidRPr="00BB2924">
        <w:rPr>
          <w:rStyle w:val="FootnoteReference"/>
          <w:highlight w:val="yellow"/>
        </w:rPr>
        <w:footnoteReference w:id="58"/>
      </w:r>
      <w:r>
        <w:rPr>
          <w:highlight w:val="yellow"/>
        </w:rPr>
        <w:t xml:space="preserve">, és ezáltal az NVH-értékelés fontos adatszolgáltatói. A HACS-k értékes helyi ismeretekkel és kapcsolattartókkal szolgálhatnak az NVH értékeléséhez. Ezenfelül a HACS-k olyan önértékelést hajthatnak végre, amely magában foglalja a hálózatépítés kérdéseit, és így hozzájárulhat az NVH értékeléséhez. </w:t>
      </w:r>
    </w:p>
    <w:p w:rsidR="00170A1A" w:rsidRPr="00BB2924" w:rsidRDefault="00170A1A" w:rsidP="00B35926">
      <w:pPr>
        <w:pStyle w:val="HHeading5"/>
        <w:rPr>
          <w:highlight w:val="yellow"/>
        </w:rPr>
      </w:pPr>
      <w:r>
        <w:rPr>
          <w:highlight w:val="yellow"/>
        </w:rPr>
        <w:lastRenderedPageBreak/>
        <w:t xml:space="preserve"> A regionális VFP-k irányító hatóságai az NVHP-k esetén </w:t>
      </w:r>
    </w:p>
    <w:p w:rsidR="00170A1A" w:rsidRPr="00BB2924" w:rsidRDefault="00170A1A" w:rsidP="007134D0">
      <w:pPr>
        <w:pStyle w:val="HStandard"/>
        <w:rPr>
          <w:highlight w:val="yellow"/>
        </w:rPr>
      </w:pPr>
      <w:r>
        <w:rPr>
          <w:highlight w:val="yellow"/>
        </w:rPr>
        <w:t xml:space="preserve">A többrégiós tagállamokban végrehajtott NVHP-k lehetőséget nyújtanak arra, hogy az ország összes VFP-jének irányító hatóságát bevonják a hálózatba. Az irányító hatóságok mindegyike fontos regionális tudást és kapcsolattartási információkat biztosíthat, amelyekkel segít értékelni az NVH(P)-knak a különféle regionális VFP-kre kifejtett hatását. A regionális irányító hatóságok szintén fontos csomópontjai a hálózatnak. </w:t>
      </w:r>
    </w:p>
    <w:p w:rsidR="00170A1A" w:rsidRPr="00BB2924" w:rsidRDefault="00170A1A" w:rsidP="00B35926">
      <w:pPr>
        <w:pStyle w:val="HHeading5"/>
        <w:rPr>
          <w:highlight w:val="yellow"/>
        </w:rPr>
      </w:pPr>
      <w:r>
        <w:rPr>
          <w:highlight w:val="yellow"/>
        </w:rPr>
        <w:t>A hálózat további tagjai</w:t>
      </w:r>
    </w:p>
    <w:p w:rsidR="00170A1A" w:rsidRPr="00BB2924" w:rsidRDefault="00170A1A" w:rsidP="007134D0">
      <w:pPr>
        <w:pStyle w:val="HStandard"/>
        <w:rPr>
          <w:highlight w:val="yellow"/>
        </w:rPr>
      </w:pPr>
      <w:r>
        <w:rPr>
          <w:highlight w:val="yellow"/>
        </w:rPr>
        <w:t>A hálózat további tagjai közé tartoznak általában a helyi hatóságok, a szociális és gazdasági partnerek (ideértve a kedvezményezetteket képviselő szervezeteket), a civil társadalmat képviselő szervezetek, a nem kormányzati szervezetek, oktatási és kutatóintézmények, más ESB-alapok képviselői, a vidéki térségek szempontjából lényeges egyéb hálózatok, helyi szövetségek és alulról felfelé építkező kezdeményezések. Néhány tagállamban magánszemélyek is lehetnek NVH tagjai. A fenti tagok interjúalanyként vagy fókuszcsoport résztvevőjeként fontos szerepet töltenek be az NVH teljesítményének és hatásainak értékelésében.</w:t>
      </w:r>
    </w:p>
    <w:p w:rsidR="00170A1A" w:rsidRPr="00BB2924" w:rsidRDefault="00170A1A" w:rsidP="00DC0897">
      <w:pPr>
        <w:pStyle w:val="HHeading3"/>
        <w:rPr>
          <w:highlight w:val="yellow"/>
        </w:rPr>
      </w:pPr>
      <w:bookmarkStart w:id="63" w:name="_Toc464410789"/>
      <w:r>
        <w:rPr>
          <w:highlight w:val="yellow"/>
        </w:rPr>
        <w:t>A hálózat értékelésébe bevont szereplők</w:t>
      </w:r>
      <w:bookmarkEnd w:id="63"/>
    </w:p>
    <w:p w:rsidR="00170A1A" w:rsidRPr="00BB2924" w:rsidRDefault="00170A1A" w:rsidP="00B35926">
      <w:pPr>
        <w:pStyle w:val="HHeading5"/>
        <w:rPr>
          <w:highlight w:val="yellow"/>
        </w:rPr>
      </w:pPr>
      <w:r>
        <w:rPr>
          <w:highlight w:val="yellow"/>
        </w:rPr>
        <w:t>Az értékelő</w:t>
      </w:r>
    </w:p>
    <w:p w:rsidR="00170A1A" w:rsidRPr="00BB2924" w:rsidRDefault="00170A1A" w:rsidP="007134D0">
      <w:pPr>
        <w:pStyle w:val="HStandard"/>
        <w:rPr>
          <w:highlight w:val="yellow"/>
        </w:rPr>
      </w:pPr>
      <w:r>
        <w:rPr>
          <w:highlight w:val="yellow"/>
        </w:rPr>
        <w:t>A VFH értékeléseit olyan értékelőnek kell végrehajtania, amelynek működése független a program végrehajtásáért felelős hatóságoktól</w:t>
      </w:r>
      <w:r>
        <w:rPr>
          <w:rFonts w:ascii="ZWAdobeF" w:hAnsi="ZWAdobeF"/>
          <w:color w:val="auto"/>
          <w:sz w:val="2"/>
          <w:szCs w:val="2"/>
          <w:highlight w:val="yellow"/>
        </w:rPr>
        <w:t>58F</w:t>
      </w:r>
      <w:r w:rsidRPr="00BB2924">
        <w:rPr>
          <w:rStyle w:val="FootnoteReference"/>
          <w:highlight w:val="yellow"/>
        </w:rPr>
        <w:footnoteReference w:id="59"/>
      </w:r>
      <w:r>
        <w:rPr>
          <w:highlight w:val="yellow"/>
        </w:rPr>
        <w:t>. Ez vonatkozik a VFP részeként vagy önálló NVH(P)-értékelésként végzett NVH-értékelésre is. Az értékelő jellemzően olyan nemzeti vagy nemzetközi</w:t>
      </w:r>
      <w:r>
        <w:rPr>
          <w:rFonts w:ascii="ZWAdobeF" w:hAnsi="ZWAdobeF"/>
          <w:color w:val="auto"/>
          <w:sz w:val="2"/>
          <w:szCs w:val="2"/>
          <w:highlight w:val="yellow"/>
        </w:rPr>
        <w:t>59F</w:t>
      </w:r>
      <w:r w:rsidRPr="00BB2924">
        <w:rPr>
          <w:rStyle w:val="FootnoteReference"/>
          <w:highlight w:val="yellow"/>
        </w:rPr>
        <w:footnoteReference w:id="60"/>
      </w:r>
      <w:r>
        <w:rPr>
          <w:highlight w:val="yellow"/>
        </w:rPr>
        <w:t xml:space="preserve"> szakértő (például önálló vállalat vagy kutatóintézet, illetve több vállalatból és/vagy kutatóintézetből álló konzorcium), amelyet pályázati eljárás keretében választanak ki különálló értékelési feladatra (például a 2017-es és 2019-es éves végrehajtási jelentések értékelési részére), vagy a teljes programozási időszak állandó értékelőjeként. Értékelő lehet ugyanakkor állami ügynökség vagy az irányító hatósággal közös hatóságon belüli, függetlenül működő osztály is.</w:t>
      </w:r>
    </w:p>
    <w:p w:rsidR="00170A1A" w:rsidRPr="00BB2924" w:rsidRDefault="00170A1A" w:rsidP="00680DA9">
      <w:pPr>
        <w:pStyle w:val="HHeading2"/>
        <w:rPr>
          <w:highlight w:val="yellow"/>
        </w:rPr>
      </w:pPr>
      <w:bookmarkStart w:id="64" w:name="_Toc382312193"/>
      <w:bookmarkStart w:id="65" w:name="_Toc382409613"/>
      <w:bookmarkStart w:id="66" w:name="_Toc464410790"/>
      <w:r>
        <w:rPr>
          <w:highlight w:val="yellow"/>
        </w:rPr>
        <w:t>Az NVH értékelésének</w:t>
      </w:r>
      <w:bookmarkEnd w:id="64"/>
      <w:bookmarkEnd w:id="65"/>
      <w:r>
        <w:rPr>
          <w:highlight w:val="yellow"/>
        </w:rPr>
        <w:t xml:space="preserve"> kulcslépései</w:t>
      </w:r>
      <w:bookmarkEnd w:id="66"/>
    </w:p>
    <w:p w:rsidR="00170A1A" w:rsidRPr="00BB2924" w:rsidRDefault="00170A1A" w:rsidP="007134D0">
      <w:pPr>
        <w:pStyle w:val="HStandard"/>
        <w:rPr>
          <w:highlight w:val="yellow"/>
        </w:rPr>
      </w:pPr>
      <w:r>
        <w:rPr>
          <w:highlight w:val="yellow"/>
        </w:rPr>
        <w:t xml:space="preserve">Az NVH-értékelés a programozási időszakot végigkísérő folyamatos eljárás. Tervezését és előkészítését a teljes időszakra vonatkozóan kell elvégezni. Minél alaposabb a tervezés és előkészítés, annál könnyebb az NVH értékelésének elindítása és végrehajtása. A teljes programozási időszakra vonatkozó értékelés megtervezése és előkészítése viszonylag hasonló az egyszeri értékelés megtervezéséhez és előkészítéséhez. </w:t>
      </w:r>
    </w:p>
    <w:p w:rsidR="00170A1A" w:rsidRPr="00BB2924" w:rsidRDefault="00170A1A" w:rsidP="007134D0">
      <w:pPr>
        <w:pStyle w:val="HStandard"/>
        <w:rPr>
          <w:highlight w:val="yellow"/>
        </w:rPr>
      </w:pPr>
      <w:r>
        <w:rPr>
          <w:highlight w:val="yellow"/>
        </w:rPr>
        <w:t>A VFP/NVHP részeként benyújtott értékelési tervnek tartalmaznia kell az indikatív értékelési témák felsorolását. Amennyiben az NVH-t a VFP részeként alakítják ki, az NVH-nak értékelési témaként kell szerepelnie az értékelési tervben</w:t>
      </w:r>
      <w:r>
        <w:rPr>
          <w:rFonts w:ascii="ZWAdobeF" w:hAnsi="ZWAdobeF"/>
          <w:color w:val="auto"/>
          <w:sz w:val="2"/>
          <w:szCs w:val="2"/>
          <w:highlight w:val="yellow"/>
        </w:rPr>
        <w:t>60F</w:t>
      </w:r>
      <w:r w:rsidRPr="00BB2924">
        <w:rPr>
          <w:rStyle w:val="FootnoteReference"/>
          <w:highlight w:val="yellow"/>
        </w:rPr>
        <w:footnoteReference w:id="61"/>
      </w:r>
      <w:r>
        <w:rPr>
          <w:highlight w:val="yellow"/>
        </w:rPr>
        <w:t xml:space="preserve">. Bizonyos tagállamok kiegészítették az értékelési tervet egy belső, részletesebb dokumentummal, amely leírja az értékelési tevékenységek átfogó megtervezését, ütemezését és az azokra szánt erőforrásokat. Ezek a dokumentumok általános képet kell, hogy adjanak az NVH-hoz kapcsolódó (önálló NVH(P)-értékelésként vagy a VFP részeként végzett) értékelési tevékenységekről és azok ütemezéséről. A tervezés belső dokumentuma előírhatja az NVH-nak az önértékelés végrehajtását, és tartalmazhatja a tervezett erőforrásokat, valamint ennek beépítését a VFP értékelési tevékenységeibe. Az NVH cselekvési tervében ezenfelül részletesebben meg kell határozni az NVH értékelésére, önértékelésére vonatkozó tevékenységeket, az értékeléshez </w:t>
      </w:r>
      <w:r>
        <w:rPr>
          <w:highlight w:val="yellow"/>
        </w:rPr>
        <w:lastRenderedPageBreak/>
        <w:t xml:space="preserve">kapcsolódó kapacitásépítési eseményeket és az értékelés megállapításainak terjesztésével kapcsolatos tevékenységeket. </w:t>
      </w:r>
    </w:p>
    <w:p w:rsidR="00170A1A" w:rsidRPr="00BB2924" w:rsidRDefault="00170A1A" w:rsidP="007134D0">
      <w:pPr>
        <w:pStyle w:val="HStandard"/>
        <w:rPr>
          <w:highlight w:val="yellow"/>
        </w:rPr>
      </w:pPr>
      <w:r>
        <w:rPr>
          <w:highlight w:val="yellow"/>
        </w:rPr>
        <w:t xml:space="preserve">A megfelelő érdekeltek (az irányító hatóság, a HTE vagy más felelős NVH-érdekeltek) a teljes programozási időszakra vonatkozó NVH(P)-értékelés készítésekor kötelesek gondoskodni arról, hogy kialakítsák az NVH konkrét beavatkozási logikáját (NVH-célkitűzések, valamint várt kimenetek, eredmények és hatások). Ezután a közös értékelési kérdéseket és kimeneti mutatókat kiegészítő, programspecifikus értékelési kérdéseket valamint eredmény- és hatásmutatókat kell kidolgozni. Át kell továbbá gondolni a mutatók adatforrásait, és meg kell állapodni az adatgyűjtési feladatkörökről és módszerekről. Ezen a ponton fontos a teljes programozási időszakra konkretizálni a kommunikációs, minőségbiztosítási és kapacitásépítési terveket. </w:t>
      </w:r>
    </w:p>
    <w:p w:rsidR="00170A1A" w:rsidRPr="00BB2924" w:rsidRDefault="00170A1A" w:rsidP="007134D0">
      <w:pPr>
        <w:pStyle w:val="HStandard"/>
        <w:rPr>
          <w:highlight w:val="yellow"/>
        </w:rPr>
      </w:pPr>
      <w:r>
        <w:rPr>
          <w:highlight w:val="yellow"/>
        </w:rPr>
        <w:t xml:space="preserve">Az NVH értékelésének előkészítését érdemes az NVH-tevékenységek tervezésének vagy végrehajtásának korai szakaszában elvégezni, hogy lehetőség nyíljon arra, hogy az adatokat már a kezdetektől gyűjtsék, és az adatgyűjtés során a szükséges információkat szerezzék meg. </w:t>
      </w:r>
    </w:p>
    <w:p w:rsidR="00170A1A" w:rsidRPr="00BB2924" w:rsidRDefault="00170A1A" w:rsidP="007134D0">
      <w:pPr>
        <w:pStyle w:val="HStandard"/>
        <w:rPr>
          <w:highlight w:val="yellow"/>
        </w:rPr>
      </w:pPr>
      <w:r>
        <w:rPr>
          <w:highlight w:val="yellow"/>
        </w:rPr>
        <w:t xml:space="preserve">Az értékelési terv, az NVH-cselekvésiterv és más általános tervezési dokumentumok a teljes programozási időszakra vonatkozóan áttekintést nyújtanak az NVH-val kapcsolatos értékelési tevékenységekről és témákról. Ezenkívül minden értékelést külön projektként kell megtervezni, ahogy azt az alábbi </w:t>
      </w:r>
      <w:r w:rsidRPr="00BB2924">
        <w:rPr>
          <w:highlight w:val="yellow"/>
        </w:rPr>
        <w:fldChar w:fldCharType="begin" w:fldLock="1"/>
      </w:r>
      <w:r w:rsidRPr="00BB2924">
        <w:rPr>
          <w:highlight w:val="yellow"/>
        </w:rPr>
        <w:instrText xml:space="preserve"> REF _Ref435790626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10</w:t>
      </w:r>
      <w:r w:rsidRPr="00BB2924">
        <w:rPr>
          <w:highlight w:val="yellow"/>
        </w:rPr>
        <w:fldChar w:fldCharType="end"/>
      </w:r>
      <w:r>
        <w:rPr>
          <w:highlight w:val="yellow"/>
        </w:rPr>
        <w:t xml:space="preserve"> mutatja. Minden értékelés felosztható feladatok sorozatát tartalmazó külön lépésekre. Az értékelés végrehajtásának fő lépései a tervezés, az előkészítés, a szerkezet kialakítása, a lebonyolítás és a terjesztés. Az egyes lépések több feladatot tartalmaznak, amelyeket a tevékenységbe bevont fő szereplők feladatköreivel együtt alább ismertetünk. </w:t>
      </w:r>
    </w:p>
    <w:p w:rsidR="00170A1A" w:rsidRPr="00BB2924" w:rsidRDefault="00170A1A" w:rsidP="00922CBE">
      <w:pPr>
        <w:pStyle w:val="HHeadingfigures"/>
        <w:rPr>
          <w:highlight w:val="yellow"/>
        </w:rPr>
      </w:pPr>
      <w:bookmarkStart w:id="67" w:name="_Ref435790626"/>
      <w:bookmarkStart w:id="68" w:name="_Toc445465126"/>
      <w:bookmarkStart w:id="69" w:name="_Toc464410814"/>
      <w:r>
        <w:rPr>
          <w:highlight w:val="yellow"/>
        </w:rPr>
        <w:t>Az NVH-k értékelésének lépései</w:t>
      </w:r>
      <w:bookmarkEnd w:id="67"/>
      <w:bookmarkEnd w:id="68"/>
      <w:bookmarkEnd w:id="69"/>
    </w:p>
    <w:p w:rsidR="00170A1A" w:rsidRPr="00BB2924" w:rsidRDefault="00170A1A" w:rsidP="00C71F5E">
      <w:pPr>
        <w:pStyle w:val="HStandard"/>
        <w:jc w:val="center"/>
        <w:rPr>
          <w:highlight w:val="yellow"/>
        </w:rPr>
      </w:pPr>
      <w:r w:rsidRPr="00707729">
        <w:rPr>
          <w:noProof/>
          <w:lang w:val="en-GB" w:eastAsia="en-GB"/>
        </w:rPr>
        <w:drawing>
          <wp:inline distT="0" distB="0" distL="0" distR="0" wp14:anchorId="54F0672F" wp14:editId="1F1BB025">
            <wp:extent cx="5731510" cy="250278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2502785"/>
                    </a:xfrm>
                    <a:prstGeom prst="rect">
                      <a:avLst/>
                    </a:prstGeom>
                    <a:noFill/>
                    <a:ln>
                      <a:noFill/>
                    </a:ln>
                  </pic:spPr>
                </pic:pic>
              </a:graphicData>
            </a:graphic>
          </wp:inline>
        </w:drawing>
      </w:r>
    </w:p>
    <w:p w:rsidR="00170A1A" w:rsidRPr="00BB2924" w:rsidRDefault="00170A1A" w:rsidP="004615A0">
      <w:pPr>
        <w:pStyle w:val="HSource"/>
        <w:rPr>
          <w:highlight w:val="yellow"/>
        </w:rPr>
      </w:pPr>
      <w:r>
        <w:rPr>
          <w:highlight w:val="yellow"/>
        </w:rPr>
        <w:t>Forrás: Európai vidékfejlesztési értékelési támogató szolgálat, 2016</w:t>
      </w:r>
    </w:p>
    <w:p w:rsidR="00170A1A" w:rsidRPr="00BB2924" w:rsidRDefault="00170A1A" w:rsidP="00680DA9">
      <w:pPr>
        <w:pStyle w:val="HHeading3"/>
        <w:rPr>
          <w:highlight w:val="yellow"/>
        </w:rPr>
      </w:pPr>
      <w:bookmarkStart w:id="70" w:name="_Toc464410791"/>
      <w:r>
        <w:rPr>
          <w:highlight w:val="yellow"/>
        </w:rPr>
        <w:t>Az NVH-értékelés megtervezése</w:t>
      </w:r>
      <w:bookmarkEnd w:id="70"/>
      <w:r>
        <w:rPr>
          <w:highlight w:val="yellow"/>
        </w:rPr>
        <w:t xml:space="preserve"> </w:t>
      </w:r>
    </w:p>
    <w:p w:rsidR="00170A1A" w:rsidRPr="00BB2924" w:rsidRDefault="00170A1A" w:rsidP="00B62FBF">
      <w:pPr>
        <w:pStyle w:val="HStandard"/>
        <w:rPr>
          <w:highlight w:val="yellow"/>
        </w:rPr>
      </w:pPr>
      <w:r>
        <w:rPr>
          <w:highlight w:val="yellow"/>
        </w:rPr>
        <w:t xml:space="preserve">Amennyiben az NVH a VFP része, az NVH tevékenységeinek értékelését általában a VFP értékelésének részeként tervezik végrehajtani (2017-es, 2019-es és utólagos értékelés), illetve egyes esetekben önálló értékelés keretében is. Az NVHP-kat önálló értékelés útján kell elbírálni. Minden olyan esetben, amikor az irányító hatóság a megbízó fél a (VFP részeként vagy önálló NVH-értékelésként végrehajtott) NVH-értékelés tekintetében, az irányító hatóság felel az NVH(P) értékelési folyamatának és ütemtervének tervezéséért, valamint előkészítéséért. Ezek végrehajthatók a HTE-vel és az értékelésben részt vevő más érdekeltekkel (például az értékelési egységgel, a kifizető ügynökséggel </w:t>
      </w:r>
      <w:r>
        <w:rPr>
          <w:highlight w:val="yellow"/>
        </w:rPr>
        <w:lastRenderedPageBreak/>
        <w:t>stb.) együtt</w:t>
      </w:r>
      <w:r>
        <w:rPr>
          <w:rFonts w:ascii="ZWAdobeF" w:hAnsi="ZWAdobeF"/>
          <w:color w:val="auto"/>
          <w:sz w:val="2"/>
          <w:szCs w:val="2"/>
          <w:highlight w:val="yellow"/>
        </w:rPr>
        <w:t>61F</w:t>
      </w:r>
      <w:r w:rsidRPr="00BB2924">
        <w:rPr>
          <w:rStyle w:val="FootnoteReference"/>
          <w:highlight w:val="yellow"/>
        </w:rPr>
        <w:footnoteReference w:id="62"/>
      </w:r>
      <w:r>
        <w:rPr>
          <w:highlight w:val="yellow"/>
        </w:rPr>
        <w:t xml:space="preserve">. Ezeket az értékeléseket rendszerint a technikai segítségnyújtás költségvetéséből finanszírozzák, a folyamatot pedig általában az irányító hatóság vezeti a HTE és egyéb érdekeltek által szolgáltatott információk felhasználásával. Amennyiben a HTE a megbízó fél, az is lehet felelős az önálló értékelés megtervezéséért és előkészítéséért. </w:t>
      </w:r>
    </w:p>
    <w:p w:rsidR="00170A1A" w:rsidRPr="00BB2924" w:rsidRDefault="00170A1A" w:rsidP="00B62FBF">
      <w:pPr>
        <w:pStyle w:val="HStandard"/>
        <w:rPr>
          <w:highlight w:val="yellow"/>
        </w:rPr>
      </w:pPr>
      <w:r>
        <w:rPr>
          <w:highlight w:val="yellow"/>
        </w:rPr>
        <w:t>Az értékelés megtervezésének lépései a következők:</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BB2924" w:rsidTr="00FC0A30">
        <w:trPr>
          <w:trHeight w:val="405"/>
        </w:trPr>
        <w:tc>
          <w:tcPr>
            <w:tcW w:w="988" w:type="dxa"/>
            <w:shd w:val="clear" w:color="auto" w:fill="E7E6E6" w:themeFill="background2"/>
          </w:tcPr>
          <w:p w:rsidR="00170A1A" w:rsidRPr="00BB2924" w:rsidRDefault="00170A1A" w:rsidP="00FC0A30">
            <w:pPr>
              <w:pStyle w:val="HStandard"/>
              <w:jc w:val="center"/>
              <w:rPr>
                <w:b/>
                <w:color w:val="5B9BD5" w:themeColor="accent1"/>
                <w:sz w:val="18"/>
                <w:szCs w:val="18"/>
                <w:highlight w:val="yellow"/>
              </w:rPr>
            </w:pPr>
            <w:r>
              <w:rPr>
                <w:b/>
                <w:color w:val="5B9BD5" w:themeColor="accent1"/>
                <w:sz w:val="18"/>
                <w:szCs w:val="18"/>
                <w:highlight w:val="yellow"/>
              </w:rPr>
              <w:t>1.</w:t>
            </w:r>
          </w:p>
        </w:tc>
        <w:tc>
          <w:tcPr>
            <w:tcW w:w="8028" w:type="dxa"/>
          </w:tcPr>
          <w:p w:rsidR="00170A1A" w:rsidRPr="00BB2924" w:rsidRDefault="00170A1A" w:rsidP="00937568">
            <w:pPr>
              <w:pStyle w:val="HStandard"/>
              <w:rPr>
                <w:sz w:val="18"/>
                <w:szCs w:val="18"/>
                <w:highlight w:val="yellow"/>
              </w:rPr>
            </w:pPr>
            <w:r>
              <w:rPr>
                <w:sz w:val="18"/>
                <w:szCs w:val="18"/>
                <w:highlight w:val="yellow"/>
              </w:rPr>
              <w:t xml:space="preserve">Az értékelési igények és az értékelés révén megszerzendő információk meghatározása. </w:t>
            </w:r>
          </w:p>
        </w:tc>
      </w:tr>
      <w:tr w:rsidR="00170A1A" w:rsidRPr="00BB2924" w:rsidTr="00FC0A30">
        <w:tc>
          <w:tcPr>
            <w:tcW w:w="988" w:type="dxa"/>
            <w:shd w:val="clear" w:color="auto" w:fill="E7E6E6" w:themeFill="background2"/>
          </w:tcPr>
          <w:p w:rsidR="00170A1A" w:rsidRPr="00BB2924" w:rsidRDefault="00170A1A" w:rsidP="00FC0A30">
            <w:pPr>
              <w:pStyle w:val="HStandard"/>
              <w:jc w:val="center"/>
              <w:rPr>
                <w:b/>
                <w:color w:val="5B9BD5" w:themeColor="accent1"/>
                <w:sz w:val="18"/>
                <w:szCs w:val="18"/>
                <w:highlight w:val="yellow"/>
              </w:rPr>
            </w:pPr>
            <w:r>
              <w:rPr>
                <w:b/>
                <w:color w:val="5B9BD5" w:themeColor="accent1"/>
                <w:sz w:val="18"/>
                <w:szCs w:val="18"/>
                <w:highlight w:val="yellow"/>
              </w:rPr>
              <w:t>2.</w:t>
            </w:r>
          </w:p>
        </w:tc>
        <w:tc>
          <w:tcPr>
            <w:tcW w:w="8028" w:type="dxa"/>
          </w:tcPr>
          <w:p w:rsidR="00170A1A" w:rsidRPr="00BB2924" w:rsidRDefault="00170A1A" w:rsidP="0017693D">
            <w:pPr>
              <w:pStyle w:val="HStandard"/>
              <w:rPr>
                <w:sz w:val="18"/>
                <w:szCs w:val="18"/>
                <w:highlight w:val="yellow"/>
              </w:rPr>
            </w:pPr>
            <w:r>
              <w:rPr>
                <w:sz w:val="18"/>
                <w:szCs w:val="18"/>
                <w:highlight w:val="yellow"/>
              </w:rPr>
              <w:t>Az értékelési forma eldöntése.</w:t>
            </w:r>
          </w:p>
        </w:tc>
      </w:tr>
      <w:tr w:rsidR="00170A1A" w:rsidRPr="00BB2924" w:rsidTr="00FC0A30">
        <w:tc>
          <w:tcPr>
            <w:tcW w:w="988" w:type="dxa"/>
            <w:shd w:val="clear" w:color="auto" w:fill="E7E6E6" w:themeFill="background2"/>
          </w:tcPr>
          <w:p w:rsidR="00170A1A" w:rsidRPr="00BB2924" w:rsidRDefault="00170A1A" w:rsidP="00FC0A30">
            <w:pPr>
              <w:pStyle w:val="HStandard"/>
              <w:jc w:val="center"/>
              <w:rPr>
                <w:b/>
                <w:color w:val="5B9BD5" w:themeColor="accent1"/>
                <w:sz w:val="18"/>
                <w:szCs w:val="18"/>
                <w:highlight w:val="yellow"/>
              </w:rPr>
            </w:pPr>
            <w:r>
              <w:rPr>
                <w:b/>
                <w:color w:val="5B9BD5" w:themeColor="accent1"/>
                <w:sz w:val="18"/>
                <w:szCs w:val="18"/>
                <w:highlight w:val="yellow"/>
              </w:rPr>
              <w:t>3.</w:t>
            </w:r>
          </w:p>
        </w:tc>
        <w:tc>
          <w:tcPr>
            <w:tcW w:w="8028" w:type="dxa"/>
          </w:tcPr>
          <w:p w:rsidR="00170A1A" w:rsidRPr="00BB2924" w:rsidRDefault="00170A1A" w:rsidP="00D549E5">
            <w:pPr>
              <w:pStyle w:val="HStandard"/>
              <w:rPr>
                <w:sz w:val="18"/>
                <w:szCs w:val="18"/>
                <w:highlight w:val="yellow"/>
              </w:rPr>
            </w:pPr>
            <w:r>
              <w:rPr>
                <w:sz w:val="18"/>
                <w:szCs w:val="18"/>
                <w:highlight w:val="yellow"/>
              </w:rPr>
              <w:t xml:space="preserve">Az értékelési folyamat és az ütemterv megtervezése. </w:t>
            </w:r>
          </w:p>
        </w:tc>
      </w:tr>
      <w:tr w:rsidR="00170A1A" w:rsidRPr="00BB2924" w:rsidTr="00FC0A30">
        <w:tc>
          <w:tcPr>
            <w:tcW w:w="988" w:type="dxa"/>
            <w:shd w:val="clear" w:color="auto" w:fill="E7E6E6" w:themeFill="background2"/>
          </w:tcPr>
          <w:p w:rsidR="00170A1A" w:rsidRPr="00BB2924" w:rsidRDefault="00170A1A" w:rsidP="00FC0A30">
            <w:pPr>
              <w:pStyle w:val="HStandard"/>
              <w:jc w:val="center"/>
              <w:rPr>
                <w:b/>
                <w:color w:val="5B9BD5" w:themeColor="accent1"/>
                <w:sz w:val="18"/>
                <w:szCs w:val="18"/>
                <w:highlight w:val="yellow"/>
              </w:rPr>
            </w:pPr>
            <w:r>
              <w:rPr>
                <w:b/>
                <w:color w:val="5B9BD5" w:themeColor="accent1"/>
                <w:sz w:val="18"/>
                <w:szCs w:val="18"/>
                <w:highlight w:val="yellow"/>
              </w:rPr>
              <w:t>4.</w:t>
            </w:r>
          </w:p>
        </w:tc>
        <w:tc>
          <w:tcPr>
            <w:tcW w:w="8028" w:type="dxa"/>
          </w:tcPr>
          <w:p w:rsidR="00170A1A" w:rsidRPr="00BB2924" w:rsidRDefault="00170A1A" w:rsidP="00B62FBF">
            <w:pPr>
              <w:pStyle w:val="HStandard"/>
              <w:rPr>
                <w:sz w:val="18"/>
                <w:szCs w:val="18"/>
                <w:highlight w:val="yellow"/>
              </w:rPr>
            </w:pPr>
            <w:r>
              <w:rPr>
                <w:sz w:val="18"/>
                <w:szCs w:val="18"/>
                <w:highlight w:val="yellow"/>
              </w:rPr>
              <w:t>A kommunikációs és kapacitásépítési tervek megfogalmazása.</w:t>
            </w:r>
          </w:p>
        </w:tc>
      </w:tr>
    </w:tbl>
    <w:p w:rsidR="00170A1A" w:rsidRPr="00BB2924" w:rsidRDefault="00170A1A" w:rsidP="0079494B">
      <w:pPr>
        <w:pStyle w:val="HHeading5"/>
        <w:rPr>
          <w:highlight w:val="yellow"/>
        </w:rPr>
      </w:pPr>
      <w:r>
        <w:rPr>
          <w:highlight w:val="yellow"/>
        </w:rPr>
        <w:t xml:space="preserve">1. lépés: Az értékelési igények (az értékelés tárgya) és az értékelés révén megszerzendő információk meghatározása </w:t>
      </w:r>
    </w:p>
    <w:p w:rsidR="00170A1A" w:rsidRPr="00BB2924" w:rsidRDefault="00170A1A" w:rsidP="003E2220">
      <w:pPr>
        <w:pStyle w:val="HStandard"/>
        <w:rPr>
          <w:highlight w:val="yellow"/>
        </w:rPr>
      </w:pPr>
      <w:r>
        <w:rPr>
          <w:highlight w:val="yellow"/>
        </w:rPr>
        <w:t>A megbízó fél (az irányító hatóság vagy a HTE) koncepcióvázlat megfogalmazásával pontosíthatja az értékelés fókuszpontjait és készítheti elő a feladatmeghatározást. A koncepcióvázlat rendszerint tartalmazza a szakpolitikai hátteret, az értékelési témákat, az ütemezést, a terjedelmet, a célt és az indokolást, valamint az érdekelteknek az értékelésben betöltött szerepét és az információforrások és korábbi értékelések hivatkozásait. A koncepcióvázlat elkészítése végigkísérheti a teljes folyamatot, például úgy, hogy a tervezési szakaszban megfogalmazzák, majd az előkészítés fázisában a pontosabb információk tükrében frissítik.</w:t>
      </w:r>
    </w:p>
    <w:p w:rsidR="00170A1A" w:rsidRPr="00BB2924" w:rsidRDefault="00170A1A" w:rsidP="0079494B">
      <w:pPr>
        <w:pStyle w:val="HHeading5"/>
        <w:rPr>
          <w:highlight w:val="yellow"/>
        </w:rPr>
      </w:pPr>
      <w:r>
        <w:rPr>
          <w:highlight w:val="yellow"/>
        </w:rPr>
        <w:t>2. lépés: Az értékelési forma eldöntése</w:t>
      </w:r>
    </w:p>
    <w:p w:rsidR="00170A1A" w:rsidRPr="00BB2924" w:rsidRDefault="00170A1A" w:rsidP="003E2220">
      <w:pPr>
        <w:pStyle w:val="HStandard"/>
        <w:rPr>
          <w:b/>
          <w:highlight w:val="yellow"/>
        </w:rPr>
      </w:pPr>
      <w:r>
        <w:rPr>
          <w:highlight w:val="yellow"/>
        </w:rPr>
        <w:t xml:space="preserve">Az NVH értékelése különböző formákban valósulhat meg attól függően, hogy milyen mélységben kívánják értékelni az NVH-t </w:t>
      </w:r>
    </w:p>
    <w:p w:rsidR="00170A1A" w:rsidRPr="00BB2924" w:rsidRDefault="00170A1A" w:rsidP="00E36BC6">
      <w:pPr>
        <w:pStyle w:val="HHeading5"/>
        <w:rPr>
          <w:color w:val="auto"/>
          <w:highlight w:val="yellow"/>
        </w:rPr>
      </w:pPr>
      <w:r>
        <w:rPr>
          <w:color w:val="auto"/>
          <w:highlight w:val="yellow"/>
        </w:rPr>
        <w:t>A VFP-értékelés részét képező NVH-értékelés</w:t>
      </w:r>
    </w:p>
    <w:p w:rsidR="00170A1A" w:rsidRPr="00BB2924" w:rsidRDefault="00170A1A" w:rsidP="00E36BC6">
      <w:pPr>
        <w:pStyle w:val="HStandard"/>
        <w:rPr>
          <w:highlight w:val="yellow"/>
        </w:rPr>
      </w:pPr>
      <w:r>
        <w:rPr>
          <w:highlight w:val="yellow"/>
        </w:rPr>
        <w:t>A VFP részét képező NVH-kat saját értékelési témaként kell szerepeltetni a program értékelésében. Ez azt feltételezi, hogy az NVH-val kapcsolatos értékelési tevékenységeket már leírták a VFP értékelési tervében, és pontosították a külső értékelő kiválasztásához kapcsolódó feladatmeghatározásban. Az NVH-val kapcsolatos értékelési tevékenységeket az éves végrehajtási jelentés 2. szakaszában tüntetik fel. Az NVH konkrét értékelési műveleteiről ezt követően a 2017-es és 2019-es kibővített éves végrehajtási jelentés keretében adnak tájékoztatást, később pedig azok az utólagos értékelés részét képezik. Ebben az összefüggésben kell megválaszolni az NVH-val kapcsolatos közös értékelési kérdéseket és kell alkalmazni az NVH-ra vonatkozó mutatókat</w:t>
      </w:r>
      <w:r>
        <w:rPr>
          <w:rFonts w:ascii="ZWAdobeF" w:hAnsi="ZWAdobeF"/>
          <w:color w:val="auto"/>
          <w:sz w:val="2"/>
          <w:szCs w:val="2"/>
          <w:highlight w:val="yellow"/>
        </w:rPr>
        <w:t>62F</w:t>
      </w:r>
      <w:r w:rsidRPr="00BB2924">
        <w:rPr>
          <w:rStyle w:val="FootnoteReference"/>
          <w:highlight w:val="yellow"/>
        </w:rPr>
        <w:footnoteReference w:id="63"/>
      </w:r>
      <w:r>
        <w:rPr>
          <w:highlight w:val="yellow"/>
        </w:rPr>
        <w:t>.</w:t>
      </w:r>
    </w:p>
    <w:p w:rsidR="00170A1A" w:rsidRPr="00BB2924" w:rsidRDefault="00170A1A" w:rsidP="00E36BC6">
      <w:pPr>
        <w:pStyle w:val="HStandard"/>
        <w:rPr>
          <w:highlight w:val="yellow"/>
        </w:rPr>
      </w:pPr>
      <w:r>
        <w:rPr>
          <w:highlight w:val="yellow"/>
        </w:rPr>
        <w:t xml:space="preserve">Amikor az NVH-t a VFP értékelése keretében vizsgálják, általában csak általános érvényű, viszonylag nagy vonalakban vázolt áttekintés nyújtható az NVH műveleteiről, sikereiről és eredményeiről az értékeléssel összefüggő jelentésben. A VFP részeként végzett NVH-értékelés jellemzően a szakpolitika megalkotói számára lényeges ajánlásokat nyújt, és csak kis részben biztosít ajánlásokat a HTE számára az NVH folyamatainak, tevékenységeinek és célmeghatározásainak javítása kapcsán. Előfordulhat továbbá, hogy az alkalmazott módszerek nem veszik figyelembe a hálózat és működésének sajátosságait. Ez az értékelés azért hasznos mégis, mert betekintést nyújt az NVH-nak a VFP rendszerén belül nyújtott teljesítményébe. Emellett további, konkrétabb értékelési kérdések </w:t>
      </w:r>
      <w:r>
        <w:rPr>
          <w:highlight w:val="yellow"/>
        </w:rPr>
        <w:lastRenderedPageBreak/>
        <w:t>megfogalmazásához szolgálhat alapul, amelyeket önálló NVH-értékelés vagy önértékelés során meg lehet vizsgálni.</w:t>
      </w:r>
    </w:p>
    <w:p w:rsidR="00170A1A" w:rsidRPr="00BB2924" w:rsidRDefault="00170A1A" w:rsidP="00E36BC6">
      <w:pPr>
        <w:pStyle w:val="HHeading5"/>
        <w:rPr>
          <w:color w:val="auto"/>
          <w:highlight w:val="yellow"/>
        </w:rPr>
      </w:pPr>
      <w:r>
        <w:rPr>
          <w:color w:val="auto"/>
          <w:highlight w:val="yellow"/>
        </w:rPr>
        <w:t xml:space="preserve">Az NVH/NVHP önálló értékelése </w:t>
      </w:r>
    </w:p>
    <w:p w:rsidR="00170A1A" w:rsidRPr="00BB2924" w:rsidRDefault="00170A1A" w:rsidP="00E36BC6">
      <w:pPr>
        <w:pStyle w:val="HStandard"/>
        <w:rPr>
          <w:highlight w:val="yellow"/>
        </w:rPr>
      </w:pPr>
      <w:r>
        <w:rPr>
          <w:highlight w:val="yellow"/>
        </w:rPr>
        <w:t>Mivel az NVHP-k különálló programok, az ESB-alapokból finanszírozott más programokhoz hasonlóan kell végrehajtani azok értékelését</w:t>
      </w:r>
      <w:r>
        <w:rPr>
          <w:rFonts w:ascii="ZWAdobeF" w:hAnsi="ZWAdobeF"/>
          <w:color w:val="auto"/>
          <w:sz w:val="2"/>
          <w:szCs w:val="2"/>
          <w:highlight w:val="yellow"/>
        </w:rPr>
        <w:t>63F</w:t>
      </w:r>
      <w:r w:rsidRPr="00BB2924">
        <w:rPr>
          <w:rStyle w:val="FootnoteReference"/>
          <w:highlight w:val="yellow"/>
        </w:rPr>
        <w:footnoteReference w:id="64"/>
      </w:r>
      <w:r>
        <w:rPr>
          <w:highlight w:val="yellow"/>
        </w:rPr>
        <w:t>. Ugyanakkor még azok a tagállamok is, amelyekben az NVH-kat beépítették a VFP-be, dönthetnek úgy, hogy önálló NVH-értékelést hajtanak végre annak érdekében, hogy mélyebb betekintést nyerjenek az NVH teljesítményébe, eredményeibe, hatásaiba, hozzáadott értékébe, eredményességébe és hatékonyságába. Ezáltal több praktikus javaslat fogalmazható meg az NVH működésének javítására vonatkozóan. Az NVH önálló értékelése emellett konkrétabb értékelési kérdések megválaszolására, vagy adott témák vizsgálatának középpontba helyezésére is alkalmas. Beépíthető a VFP értékelésének részeként végrehajtott NVH-értékelésbe, és információkat szolgáltathat ahhoz.</w:t>
      </w:r>
    </w:p>
    <w:p w:rsidR="00170A1A" w:rsidRPr="00BB2924" w:rsidRDefault="00170A1A" w:rsidP="00E36BC6">
      <w:pPr>
        <w:pStyle w:val="HStandard"/>
        <w:rPr>
          <w:highlight w:val="yellow"/>
        </w:rPr>
      </w:pPr>
      <w:r>
        <w:rPr>
          <w:highlight w:val="yellow"/>
        </w:rPr>
        <w:t>Az önálló NVH(P)-értékelésnek az alábbiakra kell összpontosítania:</w:t>
      </w:r>
    </w:p>
    <w:p w:rsidR="00170A1A" w:rsidRPr="00BB2924" w:rsidRDefault="00170A1A" w:rsidP="00E36BC6">
      <w:pPr>
        <w:pStyle w:val="Hlistbullet"/>
        <w:rPr>
          <w:highlight w:val="yellow"/>
        </w:rPr>
      </w:pPr>
      <w:r>
        <w:rPr>
          <w:highlight w:val="yellow"/>
        </w:rPr>
        <w:t>relevancia, eredményesség, hatékonyság, kimenetek, eredmények, hatások, valamint a siker és a sikertelenség tényezői (például az NVH átfogó értékelése);</w:t>
      </w:r>
    </w:p>
    <w:p w:rsidR="00170A1A" w:rsidRPr="00BB2924" w:rsidRDefault="00170A1A" w:rsidP="00E36BC6">
      <w:pPr>
        <w:pStyle w:val="Hlistbullet"/>
        <w:rPr>
          <w:highlight w:val="yellow"/>
        </w:rPr>
      </w:pPr>
      <w:r>
        <w:rPr>
          <w:highlight w:val="yellow"/>
        </w:rPr>
        <w:t>beavatkozási logika;</w:t>
      </w:r>
    </w:p>
    <w:p w:rsidR="00170A1A" w:rsidRPr="00BB2924" w:rsidRDefault="00170A1A" w:rsidP="00E36BC6">
      <w:pPr>
        <w:pStyle w:val="Hlistbullet"/>
        <w:rPr>
          <w:highlight w:val="yellow"/>
        </w:rPr>
      </w:pPr>
      <w:r>
        <w:rPr>
          <w:highlight w:val="yellow"/>
        </w:rPr>
        <w:t xml:space="preserve">cselekvési terv és tevékenységek; </w:t>
      </w:r>
    </w:p>
    <w:p w:rsidR="00170A1A" w:rsidRPr="00BB2924" w:rsidRDefault="00170A1A" w:rsidP="00E36BC6">
      <w:pPr>
        <w:pStyle w:val="Hlistbullet"/>
        <w:rPr>
          <w:highlight w:val="yellow"/>
        </w:rPr>
      </w:pPr>
      <w:r>
        <w:rPr>
          <w:highlight w:val="yellow"/>
        </w:rPr>
        <w:t>regionális hálózatok;</w:t>
      </w:r>
    </w:p>
    <w:p w:rsidR="00170A1A" w:rsidRPr="00BB2924" w:rsidRDefault="00170A1A" w:rsidP="00E36BC6">
      <w:pPr>
        <w:pStyle w:val="Hlistbullet2"/>
        <w:rPr>
          <w:highlight w:val="yellow"/>
        </w:rPr>
      </w:pPr>
      <w:r>
        <w:rPr>
          <w:highlight w:val="yellow"/>
        </w:rPr>
        <w:t>a hálózat szerkezete.</w:t>
      </w:r>
    </w:p>
    <w:p w:rsidR="00170A1A" w:rsidRPr="00BB2924" w:rsidRDefault="00170A1A" w:rsidP="00E36BC6">
      <w:pPr>
        <w:pStyle w:val="HStandard"/>
        <w:rPr>
          <w:highlight w:val="yellow"/>
        </w:rPr>
      </w:pPr>
      <w:r>
        <w:rPr>
          <w:highlight w:val="yellow"/>
        </w:rPr>
        <w:t>Az NVH(P) önálló értékelésének lebonyolításához szükség van egy teljes értékelési tervre és megvalósítási folyamatra, ideértve az olyan munkafolyamatokat is, mint az NVH beavatkozási logikájának felülvizsgálata (amennyiben az már rendelkezésre áll) vagy a beavatkozási logika kidolgozása (ha még nem történt meg), valamint programspecifikus értékelési kérdések és mutatók megfogalmazása. Minden olyan esetben, amikor az NVH(P) az értékelés egyedüli tárgya, az értékelésnek ki kell terjednie a HTE-re, az NVH-tagokra és az NVH tevékenységeire.</w:t>
      </w:r>
    </w:p>
    <w:p w:rsidR="00170A1A" w:rsidRPr="00BB2924" w:rsidRDefault="00170A1A" w:rsidP="0079494B">
      <w:pPr>
        <w:pStyle w:val="HHeading5"/>
        <w:rPr>
          <w:highlight w:val="yellow"/>
        </w:rPr>
      </w:pPr>
      <w:r>
        <w:rPr>
          <w:highlight w:val="yellow"/>
        </w:rPr>
        <w:t xml:space="preserve">3. lépés: Az értékelési folyamat és az ütemterv megtervezése </w:t>
      </w:r>
    </w:p>
    <w:p w:rsidR="00170A1A" w:rsidRPr="00BB2924" w:rsidRDefault="00170A1A" w:rsidP="00E36BC6">
      <w:pPr>
        <w:pStyle w:val="HStandard"/>
        <w:rPr>
          <w:highlight w:val="yellow"/>
        </w:rPr>
      </w:pPr>
      <w:r>
        <w:rPr>
          <w:highlight w:val="yellow"/>
        </w:rPr>
        <w:t xml:space="preserve">Ez az értékelés teljes időtartamára kiterjedő tervezés magában foglalja az értékelés egyes szakaszaihoz (előkészítés, a szerkezet kialakítása, megfigyelés, elemzés, megítélés, az értékelési eredmények terjesztése és nyomon követése) tartozó különböző értékelési tevékenységek ütemezését, valamint a részt vevő szereplőket.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FC0A30">
        <w:trPr>
          <w:jc w:val="center"/>
        </w:trPr>
        <w:tc>
          <w:tcPr>
            <w:tcW w:w="9016" w:type="dxa"/>
            <w:shd w:val="clear" w:color="auto" w:fill="F5F4F4" w:themeFill="background2" w:themeFillTint="66"/>
          </w:tcPr>
          <w:p w:rsidR="00170A1A" w:rsidRPr="00BB2924" w:rsidRDefault="00170A1A" w:rsidP="00BE7FA8">
            <w:pPr>
              <w:pStyle w:val="HStandard"/>
              <w:rPr>
                <w:highlight w:val="yellow"/>
              </w:rPr>
            </w:pPr>
            <w:r>
              <w:rPr>
                <w:highlight w:val="yellow"/>
              </w:rPr>
              <w:t xml:space="preserve">A feladat végrehajtását az alábbi kérdések segíthetik: </w:t>
            </w:r>
          </w:p>
          <w:p w:rsidR="00170A1A" w:rsidRPr="00BB2924" w:rsidRDefault="00170A1A" w:rsidP="00170A1A">
            <w:pPr>
              <w:pStyle w:val="Hlistbullet"/>
              <w:rPr>
                <w:highlight w:val="yellow"/>
              </w:rPr>
            </w:pPr>
            <w:r>
              <w:rPr>
                <w:highlight w:val="yellow"/>
              </w:rPr>
              <w:t>Mit szeretnénk megtudni (melyek az értékelés témái, például a hálózati célkitűzések megvalósulása, az NVH(P) tevékenységeinek végrehajtása, az NVH(P) hatékonysága és eredményessége, a hálózat szerkezete, az NVH(P) hatása a program végrehajtására, az NVH(P) eredményei)?</w:t>
            </w:r>
          </w:p>
          <w:p w:rsidR="00170A1A" w:rsidRPr="00BB2924" w:rsidRDefault="00170A1A" w:rsidP="00170A1A">
            <w:pPr>
              <w:pStyle w:val="Hlistbullet"/>
              <w:rPr>
                <w:highlight w:val="yellow"/>
              </w:rPr>
            </w:pPr>
            <w:r>
              <w:rPr>
                <w:highlight w:val="yellow"/>
              </w:rPr>
              <w:t>Miért fontos ezeknek a témáknak az értékelése?</w:t>
            </w:r>
          </w:p>
          <w:p w:rsidR="00170A1A" w:rsidRPr="00BB2924" w:rsidRDefault="00170A1A" w:rsidP="00170A1A">
            <w:pPr>
              <w:pStyle w:val="Hlistbullet"/>
              <w:rPr>
                <w:highlight w:val="yellow"/>
              </w:rPr>
            </w:pPr>
            <w:r>
              <w:rPr>
                <w:highlight w:val="yellow"/>
              </w:rPr>
              <w:t xml:space="preserve">Milyen jogi követelmények vonatkoznak az értékelés és a kiválasztott témák tartalmára? </w:t>
            </w:r>
          </w:p>
          <w:p w:rsidR="00170A1A" w:rsidRPr="00BB2924" w:rsidRDefault="00170A1A" w:rsidP="00170A1A">
            <w:pPr>
              <w:pStyle w:val="Hlistbullet"/>
              <w:rPr>
                <w:highlight w:val="yellow"/>
              </w:rPr>
            </w:pPr>
            <w:r>
              <w:rPr>
                <w:highlight w:val="yellow"/>
              </w:rPr>
              <w:t xml:space="preserve">Készült-e korábbi értékelés, felmérés vagy tanulmány a kiválasztott témákat illetően? </w:t>
            </w:r>
          </w:p>
          <w:p w:rsidR="00170A1A" w:rsidRPr="00BB2924" w:rsidRDefault="00170A1A" w:rsidP="00170A1A">
            <w:pPr>
              <w:pStyle w:val="Hlistbullet2"/>
              <w:rPr>
                <w:highlight w:val="yellow"/>
              </w:rPr>
            </w:pPr>
            <w:r>
              <w:rPr>
                <w:highlight w:val="yellow"/>
              </w:rPr>
              <w:t xml:space="preserve">Melyek a fő hiányzó ismeretek az NVH(P)-vel és a kiválasztott témákkal kapcsolatosan? </w:t>
            </w:r>
          </w:p>
        </w:tc>
      </w:tr>
    </w:tbl>
    <w:p w:rsidR="00170A1A" w:rsidRPr="00BB2924" w:rsidRDefault="00170A1A" w:rsidP="00FC0A30">
      <w:pPr>
        <w:pStyle w:val="HHeading5"/>
        <w:rPr>
          <w:highlight w:val="yellow"/>
        </w:rPr>
      </w:pPr>
      <w:r>
        <w:rPr>
          <w:highlight w:val="yellow"/>
        </w:rPr>
        <w:t>4. lépés: A kommunikációs és kapacitásépítési tervek megfogalmazása</w:t>
      </w:r>
    </w:p>
    <w:p w:rsidR="00170A1A" w:rsidRPr="00BB2924" w:rsidRDefault="00170A1A" w:rsidP="003E2220">
      <w:pPr>
        <w:pStyle w:val="HStandard"/>
        <w:rPr>
          <w:b/>
          <w:highlight w:val="yellow"/>
        </w:rPr>
      </w:pPr>
      <w:r>
        <w:rPr>
          <w:b/>
          <w:highlight w:val="yellow"/>
        </w:rPr>
        <w:t>Kommunikációs terv</w:t>
      </w:r>
    </w:p>
    <w:p w:rsidR="00170A1A" w:rsidRPr="00BB2924" w:rsidRDefault="00170A1A" w:rsidP="003E2220">
      <w:pPr>
        <w:pStyle w:val="HStandard"/>
        <w:rPr>
          <w:highlight w:val="yellow"/>
        </w:rPr>
      </w:pPr>
      <w:r>
        <w:rPr>
          <w:highlight w:val="yellow"/>
        </w:rPr>
        <w:lastRenderedPageBreak/>
        <w:t>Az értékelésben kulcsfontosságú szerepet játszik a kommunikáció. Ezért már az értékelés korai szakaszában meg kell tervezni. Az értékelések végrehajtásának egyik fő oka az elszámoltathatóság biztosítása az érdekeltek és a nyilvánosság felé. Az értékelési eredményeket ennek megfelelően be kell mutatni a célközönségnek. Ezért minden értékeléshez készíteni kell kommunikációs tervet, amelyet az értékelési folyamat elején kell megtervezni, és amelynek végrehajtását az értékelés véglegesítése után azonnal meg kell kezdeni. Az értékelés megbízója felel az értékelés megállapításaira és következtetéseire vonatkozó kommunikációs terv kidolgozásáért és végrehajtásáért. A VFP általános kommunikációját kezelő szereplő (a minisztériumi vagy irányító hatóság megfelelő egysége, a HTE, alvállalkozó stb.) általában rendelkezik az értékelés megállapításainak a közvéleménnyel történő ismertetéséhez szükséges eszközökkel. A HTE, a hálózati tagok és az értékelésirányító csoport segítséget nyújthat az irányító hatóságnak abban, hogy az értékelés megállapításait bemutassák a VFP érdekeltjeinek. Az NVH(P) kommunikációs tervébe bele kell foglalni az értékelés megállapításaival kapcsolatos kommunikációt, amelyet a hálózatok cselekvési terve előír.</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FC0A30">
        <w:trPr>
          <w:jc w:val="center"/>
        </w:trPr>
        <w:tc>
          <w:tcPr>
            <w:tcW w:w="9016" w:type="dxa"/>
            <w:shd w:val="clear" w:color="auto" w:fill="F5F4F4" w:themeFill="background2" w:themeFillTint="66"/>
          </w:tcPr>
          <w:p w:rsidR="00170A1A" w:rsidRPr="00BB2924" w:rsidRDefault="00170A1A" w:rsidP="00F26F45">
            <w:pPr>
              <w:pStyle w:val="HStandard"/>
              <w:rPr>
                <w:highlight w:val="yellow"/>
              </w:rPr>
            </w:pPr>
            <w:r>
              <w:rPr>
                <w:highlight w:val="yellow"/>
              </w:rPr>
              <w:t xml:space="preserve">A kommunikációs megközelítés kialakításakor megválaszolandó főbb kérdések a következők: </w:t>
            </w:r>
          </w:p>
          <w:p w:rsidR="00170A1A" w:rsidRPr="00BB2924" w:rsidRDefault="00170A1A" w:rsidP="00170A1A">
            <w:pPr>
              <w:pStyle w:val="Hlistbullet"/>
              <w:rPr>
                <w:highlight w:val="yellow"/>
              </w:rPr>
            </w:pPr>
            <w:r>
              <w:rPr>
                <w:highlight w:val="yellow"/>
              </w:rPr>
              <w:t>Ki a célközönség? Ki érdeklődik az NVH-értékelés iránt?</w:t>
            </w:r>
          </w:p>
          <w:p w:rsidR="00170A1A" w:rsidRPr="00BB2924" w:rsidRDefault="00170A1A" w:rsidP="00170A1A">
            <w:pPr>
              <w:pStyle w:val="Hlistbullet"/>
              <w:rPr>
                <w:highlight w:val="yellow"/>
              </w:rPr>
            </w:pPr>
            <w:r>
              <w:rPr>
                <w:highlight w:val="yellow"/>
              </w:rPr>
              <w:t>Pontosan mi érdekli őket?</w:t>
            </w:r>
          </w:p>
          <w:p w:rsidR="00170A1A" w:rsidRPr="00BB2924" w:rsidRDefault="00170A1A" w:rsidP="00170A1A">
            <w:pPr>
              <w:pStyle w:val="Hlistbullet"/>
              <w:rPr>
                <w:highlight w:val="yellow"/>
              </w:rPr>
            </w:pPr>
            <w:r>
              <w:rPr>
                <w:highlight w:val="yellow"/>
              </w:rPr>
              <w:t>Mely kommunikációs csatornákkal lehet a legjobban elérni a célközönség különböző rétegeit?</w:t>
            </w:r>
          </w:p>
          <w:p w:rsidR="00170A1A" w:rsidRPr="00BB2924" w:rsidRDefault="00170A1A" w:rsidP="00170A1A">
            <w:pPr>
              <w:pStyle w:val="Hlistbullet"/>
              <w:rPr>
                <w:highlight w:val="yellow"/>
              </w:rPr>
            </w:pPr>
            <w:r>
              <w:rPr>
                <w:highlight w:val="yellow"/>
              </w:rPr>
              <w:t>A célközönség különböző rétegeihez milyen kommunikációs stílusok illenek?</w:t>
            </w:r>
          </w:p>
          <w:p w:rsidR="00170A1A" w:rsidRPr="00BB2924" w:rsidRDefault="00170A1A" w:rsidP="00170A1A">
            <w:pPr>
              <w:pStyle w:val="Hlistbullet"/>
              <w:rPr>
                <w:highlight w:val="yellow"/>
              </w:rPr>
            </w:pPr>
            <w:r>
              <w:rPr>
                <w:highlight w:val="yellow"/>
              </w:rPr>
              <w:t>Mikor kerüljön sor a kommunikációra?</w:t>
            </w:r>
          </w:p>
          <w:p w:rsidR="00170A1A" w:rsidRPr="00BB2924" w:rsidRDefault="00170A1A" w:rsidP="00170A1A">
            <w:pPr>
              <w:pStyle w:val="Hlistbullet2"/>
              <w:rPr>
                <w:highlight w:val="yellow"/>
              </w:rPr>
            </w:pPr>
            <w:r>
              <w:rPr>
                <w:highlight w:val="yellow"/>
              </w:rPr>
              <w:t>Ki felel az adott témáknak a célközönség egyes rétegei felé történő kommunikációjáért?</w:t>
            </w:r>
          </w:p>
        </w:tc>
      </w:tr>
    </w:tbl>
    <w:p w:rsidR="00170A1A" w:rsidRPr="00BB2924" w:rsidRDefault="00170A1A" w:rsidP="000C5FAA">
      <w:pPr>
        <w:pStyle w:val="HStandard"/>
        <w:rPr>
          <w:highlight w:val="yellow"/>
        </w:rPr>
      </w:pPr>
      <w:r>
        <w:rPr>
          <w:highlight w:val="yellow"/>
        </w:rPr>
        <w:t>A kommunikációs terv táblázat formájában összegezhető (</w:t>
      </w:r>
      <w:r w:rsidRPr="00BB2924">
        <w:rPr>
          <w:highlight w:val="yellow"/>
        </w:rPr>
        <w:fldChar w:fldCharType="begin" w:fldLock="1"/>
      </w:r>
      <w:r w:rsidRPr="00BB2924">
        <w:rPr>
          <w:highlight w:val="yellow"/>
        </w:rPr>
        <w:instrText xml:space="preserve"> REF _Ref435790833 \r \h  \* MERGEFORMAT </w:instrText>
      </w:r>
      <w:r w:rsidRPr="00BB2924">
        <w:rPr>
          <w:highlight w:val="yellow"/>
        </w:rPr>
      </w:r>
      <w:r w:rsidRPr="00BB2924">
        <w:rPr>
          <w:highlight w:val="yellow"/>
        </w:rPr>
        <w:fldChar w:fldCharType="separate"/>
      </w:r>
      <w:r w:rsidRPr="00BB2924">
        <w:rPr>
          <w:highlight w:val="yellow"/>
        </w:rPr>
        <w:t>Table 2</w:t>
      </w:r>
      <w:r w:rsidRPr="00BB2924">
        <w:rPr>
          <w:highlight w:val="yellow"/>
        </w:rPr>
        <w:fldChar w:fldCharType="end"/>
      </w:r>
      <w:r>
        <w:rPr>
          <w:highlight w:val="yellow"/>
        </w:rPr>
        <w:t>). A kommunikációs terv kidolgozásával kapcsolatosan további információt az NVH-útmutató</w:t>
      </w:r>
      <w:r>
        <w:rPr>
          <w:rFonts w:ascii="ZWAdobeF" w:hAnsi="ZWAdobeF"/>
          <w:color w:val="auto"/>
          <w:sz w:val="2"/>
          <w:szCs w:val="2"/>
          <w:highlight w:val="yellow"/>
        </w:rPr>
        <w:t>64F</w:t>
      </w:r>
      <w:r w:rsidRPr="00BB2924">
        <w:rPr>
          <w:rStyle w:val="FootnoteReference"/>
          <w:highlight w:val="yellow"/>
        </w:rPr>
        <w:footnoteReference w:id="65"/>
      </w:r>
      <w:r>
        <w:rPr>
          <w:highlight w:val="yellow"/>
        </w:rPr>
        <w:t xml:space="preserve"> tartalmaz. </w:t>
      </w:r>
    </w:p>
    <w:p w:rsidR="00170A1A" w:rsidRPr="00BB2924" w:rsidRDefault="00170A1A" w:rsidP="001249DA">
      <w:pPr>
        <w:pStyle w:val="HHeadingtables"/>
        <w:rPr>
          <w:highlight w:val="yellow"/>
        </w:rPr>
      </w:pPr>
      <w:bookmarkStart w:id="71" w:name="_Ref435790833"/>
      <w:bookmarkStart w:id="72" w:name="_Toc436383143"/>
      <w:bookmarkStart w:id="73" w:name="_Toc464410796"/>
      <w:r>
        <w:rPr>
          <w:highlight w:val="yellow"/>
        </w:rPr>
        <w:t>Az értékeléssel kapcsolatos kommunikációs terv</w:t>
      </w:r>
      <w:bookmarkEnd w:id="71"/>
      <w:bookmarkEnd w:id="72"/>
      <w:bookmarkEnd w:id="73"/>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170A1A" w:rsidRPr="00BB2924" w:rsidTr="00387681">
        <w:trPr>
          <w:trHeight w:val="372"/>
          <w:jc w:val="center"/>
        </w:trPr>
        <w:tc>
          <w:tcPr>
            <w:tcW w:w="2254"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Ki?</w:t>
            </w:r>
          </w:p>
        </w:tc>
        <w:tc>
          <w:tcPr>
            <w:tcW w:w="1683"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Mit?</w:t>
            </w:r>
          </w:p>
        </w:tc>
        <w:tc>
          <w:tcPr>
            <w:tcW w:w="1683"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Hogyan?</w:t>
            </w:r>
          </w:p>
        </w:tc>
        <w:tc>
          <w:tcPr>
            <w:tcW w:w="1683"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Mikor?</w:t>
            </w:r>
          </w:p>
        </w:tc>
        <w:tc>
          <w:tcPr>
            <w:tcW w:w="1683"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Ki hajtja végre?</w:t>
            </w:r>
          </w:p>
        </w:tc>
      </w:tr>
      <w:tr w:rsidR="00170A1A" w:rsidRPr="00BB2924" w:rsidTr="00387681">
        <w:trPr>
          <w:trHeight w:val="1233"/>
          <w:jc w:val="center"/>
        </w:trPr>
        <w:tc>
          <w:tcPr>
            <w:tcW w:w="2254"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 xml:space="preserve">Célközönség (például a szakpolitika kidolgozói, érdekeltek, a közvélemény) </w:t>
            </w:r>
          </w:p>
        </w:tc>
        <w:tc>
          <w:tcPr>
            <w:tcW w:w="1683"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A célközönséget érdeklő témák</w:t>
            </w:r>
          </w:p>
        </w:tc>
        <w:tc>
          <w:tcPr>
            <w:tcW w:w="1683"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Kommunikációs csatorna (csatornák)</w:t>
            </w:r>
          </w:p>
        </w:tc>
        <w:tc>
          <w:tcPr>
            <w:tcW w:w="1683"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A kommunikáció ütemezése és gyakorisága</w:t>
            </w:r>
          </w:p>
        </w:tc>
        <w:tc>
          <w:tcPr>
            <w:tcW w:w="1683"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 xml:space="preserve">A kommunikáció felelőse </w:t>
            </w:r>
          </w:p>
        </w:tc>
      </w:tr>
    </w:tbl>
    <w:p w:rsidR="00170A1A" w:rsidRPr="00BB2924" w:rsidRDefault="00170A1A" w:rsidP="008768CB">
      <w:pPr>
        <w:pStyle w:val="HStandard"/>
        <w:rPr>
          <w:b/>
          <w:highlight w:val="yellow"/>
        </w:rPr>
      </w:pPr>
      <w:r>
        <w:rPr>
          <w:b/>
          <w:highlight w:val="yellow"/>
        </w:rPr>
        <w:t>Kapacitásépítési terv</w:t>
      </w:r>
    </w:p>
    <w:p w:rsidR="00170A1A" w:rsidRPr="00BB2924" w:rsidRDefault="00170A1A" w:rsidP="008768CB">
      <w:pPr>
        <w:pStyle w:val="HStandard"/>
        <w:rPr>
          <w:highlight w:val="yellow"/>
        </w:rPr>
      </w:pPr>
      <w:r>
        <w:rPr>
          <w:highlight w:val="yellow"/>
        </w:rPr>
        <w:t>A kapacitásépítést rendszerint a humán- és intézményi erőforrások megerősítéseként és fejlesztéseként határozzák meg. Az értékelésikapacitás-építés tehát egyesíti az egyének értékelésre vonatkozó tudása és készségei bővítését a szervezet értékelési mechanizmusainak, nevezetesen a kialakított rendszereknek és folyamatoknak az erősítésével.</w:t>
      </w:r>
    </w:p>
    <w:p w:rsidR="00170A1A" w:rsidRPr="00BB2924" w:rsidRDefault="00170A1A" w:rsidP="008768CB">
      <w:pPr>
        <w:pStyle w:val="HStandard"/>
        <w:rPr>
          <w:highlight w:val="yellow"/>
        </w:rPr>
      </w:pPr>
      <w:r>
        <w:rPr>
          <w:highlight w:val="yellow"/>
        </w:rPr>
        <w:t>A humánerőforrásokkal kapcsolatos értékelésikapacitás-építés a célközönségek (például az irányító hatóság, a kifizető ügynökség, a szakpolitika-kidolgozók, a HTE, a HACS-k és egyéb NVH-tagok), valamint azok értékelési képességeinek és információigényük szintjének, illetve tudásszintjüknek az azonosításával kezdődik (</w:t>
      </w:r>
      <w:r w:rsidRPr="00BB2924">
        <w:rPr>
          <w:highlight w:val="yellow"/>
        </w:rPr>
        <w:fldChar w:fldCharType="begin" w:fldLock="1"/>
      </w:r>
      <w:r w:rsidRPr="00BB2924">
        <w:rPr>
          <w:highlight w:val="yellow"/>
        </w:rPr>
        <w:instrText xml:space="preserve"> REF _Ref451784915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4</w:t>
      </w:r>
      <w:r w:rsidRPr="00BB2924">
        <w:rPr>
          <w:highlight w:val="yellow"/>
        </w:rPr>
        <w:fldChar w:fldCharType="end"/>
      </w:r>
      <w:r>
        <w:rPr>
          <w:highlight w:val="yellow"/>
        </w:rPr>
        <w:t>). Egyes tagállamokban az NVH feladatai közé tartozik a HACS-k értékelési kapacitásának növelése. Ilyen esetekben a HACS-kat figyelembe kell venni mindegyik kapacitásépítési tervben.</w:t>
      </w:r>
    </w:p>
    <w:p w:rsidR="00170A1A" w:rsidRPr="00BB2924" w:rsidRDefault="00170A1A" w:rsidP="008768CB">
      <w:pPr>
        <w:pStyle w:val="HStandard"/>
        <w:rPr>
          <w:highlight w:val="yellow"/>
        </w:rPr>
      </w:pPr>
      <w:r>
        <w:rPr>
          <w:highlight w:val="yellow"/>
        </w:rPr>
        <w:t xml:space="preserve">A szervezetekre vonatkozó értékelésikapacitás-építés ugyanakkor a szervezet értékeléssel kapcsolatos tanulási és támogatási mechanizmusainak fejlesztését jelenti. A szervezeti tanulás alatt </w:t>
      </w:r>
      <w:r>
        <w:rPr>
          <w:highlight w:val="yellow"/>
        </w:rPr>
        <w:lastRenderedPageBreak/>
        <w:t xml:space="preserve">azt értjük, amikor a szervezet figyeli saját tevékenységeit, és megpróbál minden téren fejlődni. A folyamatokat dokumentálják is annak érdekében, hogy a folyamatok és felelősségi körök egyértelműek legyenek, és a megszerzett tudás a szervezetnél maradjon még személyzeti változások esetén is. A szervezeti tanulás szerves része a minőség-ellenőrzés (lásd a 2.2.3. fejezetet) és az értékelés megállapításainak hasznosítása (lásd a 2.2.4. fejezetet). </w:t>
      </w:r>
    </w:p>
    <w:p w:rsidR="00170A1A" w:rsidRPr="00BB2924" w:rsidRDefault="00170A1A" w:rsidP="008768CB">
      <w:pPr>
        <w:pStyle w:val="HStandard"/>
        <w:rPr>
          <w:highlight w:val="yellow"/>
        </w:rPr>
      </w:pPr>
      <w:r>
        <w:rPr>
          <w:highlight w:val="yellow"/>
        </w:rPr>
        <w:t xml:space="preserve">Miután egyértelműen megállapították, hogy melyek az értékeléssel kapcsolatos fő kapacitásépítési igények, megtervezhetők a kapacitásépítési tevékenységek, azok ütemezése, valamint kijelölhetők a felelősök. Az értékelésikapacitás-építési terv megfogalmazása a megbízó (irányító hatóság vagy HTE) feladata.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170A1A" w:rsidRPr="00BB2924" w:rsidTr="00FC0A30">
        <w:tc>
          <w:tcPr>
            <w:tcW w:w="9021" w:type="dxa"/>
            <w:shd w:val="clear" w:color="auto" w:fill="F5F4F4" w:themeFill="background2" w:themeFillTint="66"/>
          </w:tcPr>
          <w:p w:rsidR="00170A1A" w:rsidRPr="00BB2924" w:rsidRDefault="00170A1A" w:rsidP="00F26F45">
            <w:pPr>
              <w:pStyle w:val="HStandard"/>
              <w:rPr>
                <w:highlight w:val="yellow"/>
              </w:rPr>
            </w:pPr>
            <w:r>
              <w:rPr>
                <w:highlight w:val="yellow"/>
              </w:rPr>
              <w:t xml:space="preserve">Az értékelésikapacitás-építés alapját képező kérdések </w:t>
            </w:r>
          </w:p>
          <w:p w:rsidR="00170A1A" w:rsidRPr="00BB2924" w:rsidRDefault="00170A1A" w:rsidP="00F26F45">
            <w:pPr>
              <w:pStyle w:val="HStandard"/>
              <w:rPr>
                <w:highlight w:val="yellow"/>
              </w:rPr>
            </w:pPr>
            <w:r>
              <w:rPr>
                <w:highlight w:val="yellow"/>
              </w:rPr>
              <w:t>az egyénekkel kapcsolatosan a következők:</w:t>
            </w:r>
          </w:p>
          <w:p w:rsidR="00170A1A" w:rsidRPr="00BB2924" w:rsidRDefault="00170A1A" w:rsidP="00170A1A">
            <w:pPr>
              <w:pStyle w:val="Hlistbullet"/>
              <w:rPr>
                <w:highlight w:val="yellow"/>
              </w:rPr>
            </w:pPr>
            <w:r>
              <w:rPr>
                <w:highlight w:val="yellow"/>
              </w:rPr>
              <w:t>Kik az NVH-értékeléssel kapcsolatos fő szereplők?</w:t>
            </w:r>
          </w:p>
          <w:p w:rsidR="00170A1A" w:rsidRPr="00BB2924" w:rsidRDefault="00170A1A" w:rsidP="00170A1A">
            <w:pPr>
              <w:pStyle w:val="Hlistbullet"/>
              <w:rPr>
                <w:highlight w:val="yellow"/>
              </w:rPr>
            </w:pPr>
            <w:r>
              <w:rPr>
                <w:highlight w:val="yellow"/>
              </w:rPr>
              <w:t>Mit kell tudniuk az értékelésről?</w:t>
            </w:r>
          </w:p>
          <w:p w:rsidR="00170A1A" w:rsidRPr="00BB2924" w:rsidRDefault="00170A1A" w:rsidP="00170A1A">
            <w:pPr>
              <w:pStyle w:val="Hlistbullet"/>
              <w:rPr>
                <w:highlight w:val="yellow"/>
              </w:rPr>
            </w:pPr>
            <w:r>
              <w:rPr>
                <w:highlight w:val="yellow"/>
              </w:rPr>
              <w:t>Mi a jelenlegi tudásszintjük az értékeléssel kapcsolatosan?</w:t>
            </w:r>
          </w:p>
          <w:p w:rsidR="00170A1A" w:rsidRPr="00BB2924" w:rsidRDefault="00170A1A" w:rsidP="00170A1A">
            <w:pPr>
              <w:pStyle w:val="Hlistbullet"/>
              <w:rPr>
                <w:highlight w:val="yellow"/>
              </w:rPr>
            </w:pPr>
            <w:r>
              <w:rPr>
                <w:highlight w:val="yellow"/>
              </w:rPr>
              <w:t>Milyen tudásra van még szükség? Melyek a legkritikusabb kapacitásépítési igények?</w:t>
            </w:r>
          </w:p>
          <w:p w:rsidR="00170A1A" w:rsidRPr="00BB2924" w:rsidRDefault="00170A1A" w:rsidP="00170A1A">
            <w:pPr>
              <w:pStyle w:val="Hlistbullet"/>
              <w:rPr>
                <w:highlight w:val="yellow"/>
              </w:rPr>
            </w:pPr>
            <w:r>
              <w:rPr>
                <w:highlight w:val="yellow"/>
              </w:rPr>
              <w:t>Mely kapacitásépítési formák illeszkednek legjobban a meghatározott igényekhez?</w:t>
            </w:r>
          </w:p>
          <w:p w:rsidR="00170A1A" w:rsidRPr="00BB2924" w:rsidRDefault="00170A1A" w:rsidP="00170A1A">
            <w:pPr>
              <w:pStyle w:val="Hlistbullet"/>
              <w:rPr>
                <w:highlight w:val="yellow"/>
              </w:rPr>
            </w:pPr>
            <w:r>
              <w:rPr>
                <w:highlight w:val="yellow"/>
              </w:rPr>
              <w:t>Mikor kell végrehajtani a kapacitásépítési intézkedéseket?</w:t>
            </w:r>
          </w:p>
          <w:p w:rsidR="00170A1A" w:rsidRPr="00BB2924" w:rsidRDefault="00170A1A" w:rsidP="00170A1A">
            <w:pPr>
              <w:pStyle w:val="Hlistbullet"/>
              <w:rPr>
                <w:highlight w:val="yellow"/>
              </w:rPr>
            </w:pPr>
            <w:r>
              <w:rPr>
                <w:highlight w:val="yellow"/>
              </w:rPr>
              <w:t>Ki felel a kapacitásépítési intézkedések megszervezéséért? Ki hajtja végre azokat? Szükség van-e külső oktatókra?</w:t>
            </w:r>
          </w:p>
          <w:p w:rsidR="00170A1A" w:rsidRPr="00BB2924" w:rsidRDefault="00170A1A" w:rsidP="00F26F45">
            <w:pPr>
              <w:pStyle w:val="HStandard"/>
              <w:rPr>
                <w:highlight w:val="yellow"/>
              </w:rPr>
            </w:pPr>
            <w:r>
              <w:rPr>
                <w:highlight w:val="yellow"/>
              </w:rPr>
              <w:t xml:space="preserve">szervezetekkel kapcsolatosan a következők: </w:t>
            </w:r>
          </w:p>
          <w:p w:rsidR="00170A1A" w:rsidRPr="00BB2924" w:rsidRDefault="00170A1A" w:rsidP="00170A1A">
            <w:pPr>
              <w:pStyle w:val="Hlistbullet"/>
              <w:rPr>
                <w:highlight w:val="yellow"/>
              </w:rPr>
            </w:pPr>
            <w:r>
              <w:rPr>
                <w:highlight w:val="yellow"/>
              </w:rPr>
              <w:t xml:space="preserve">Hogyan használható az értékelés a szakpolitika fejlesztésére? </w:t>
            </w:r>
          </w:p>
          <w:p w:rsidR="00170A1A" w:rsidRPr="00BB2924" w:rsidRDefault="00170A1A" w:rsidP="00170A1A">
            <w:pPr>
              <w:pStyle w:val="Hlistbullet"/>
              <w:rPr>
                <w:highlight w:val="yellow"/>
              </w:rPr>
            </w:pPr>
            <w:r>
              <w:rPr>
                <w:highlight w:val="yellow"/>
              </w:rPr>
              <w:t>Hogyan teheti a szervezet az értékelést az éves tervezési eljárása szerves részévé?</w:t>
            </w:r>
          </w:p>
          <w:p w:rsidR="00170A1A" w:rsidRPr="00BB2924" w:rsidRDefault="00170A1A" w:rsidP="00170A1A">
            <w:pPr>
              <w:pStyle w:val="Hlistbullet"/>
              <w:rPr>
                <w:highlight w:val="yellow"/>
              </w:rPr>
            </w:pPr>
            <w:r>
              <w:rPr>
                <w:highlight w:val="yellow"/>
              </w:rPr>
              <w:t xml:space="preserve">Melyek az értékelési megállapítások nyomon követésének konkrét lépései? </w:t>
            </w:r>
          </w:p>
          <w:p w:rsidR="00170A1A" w:rsidRPr="00BB2924" w:rsidRDefault="00170A1A" w:rsidP="00170A1A">
            <w:pPr>
              <w:pStyle w:val="Hlistbullet"/>
              <w:rPr>
                <w:highlight w:val="yellow"/>
              </w:rPr>
            </w:pPr>
            <w:r>
              <w:rPr>
                <w:highlight w:val="yellow"/>
              </w:rPr>
              <w:t>Melyek a szervezet értékeléssel kapcsolatos fő folyamatai? Hogyan lehet ezeket javítani?</w:t>
            </w:r>
          </w:p>
          <w:p w:rsidR="00170A1A" w:rsidRPr="00BB2924" w:rsidRDefault="00170A1A" w:rsidP="00170A1A">
            <w:pPr>
              <w:pStyle w:val="Hlistbullet2"/>
              <w:rPr>
                <w:highlight w:val="yellow"/>
              </w:rPr>
            </w:pPr>
            <w:r>
              <w:rPr>
                <w:highlight w:val="yellow"/>
              </w:rPr>
              <w:t>Hogyan biztosítható az értékelési folyamatok jó minősége? Milyen eszközökre és mely feladatok végrehajtására van szükség?</w:t>
            </w:r>
          </w:p>
        </w:tc>
      </w:tr>
    </w:tbl>
    <w:p w:rsidR="00170A1A" w:rsidRPr="00BB2924" w:rsidRDefault="00170A1A" w:rsidP="001249DA">
      <w:pPr>
        <w:pStyle w:val="HHeadingtables"/>
        <w:rPr>
          <w:highlight w:val="yellow"/>
        </w:rPr>
      </w:pPr>
      <w:bookmarkStart w:id="74" w:name="_Toc436383144"/>
      <w:bookmarkStart w:id="75" w:name="_Toc464410797"/>
      <w:r>
        <w:rPr>
          <w:highlight w:val="yellow"/>
        </w:rPr>
        <w:t>Értékelésikapacitás-építés: humánerőforrások</w:t>
      </w:r>
      <w:bookmarkEnd w:id="74"/>
      <w:bookmarkEnd w:id="75"/>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170A1A" w:rsidRPr="00BB2924" w:rsidTr="008768CB">
        <w:trPr>
          <w:trHeight w:val="372"/>
          <w:jc w:val="center"/>
        </w:trPr>
        <w:tc>
          <w:tcPr>
            <w:tcW w:w="1511"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Ki?</w:t>
            </w:r>
          </w:p>
        </w:tc>
        <w:tc>
          <w:tcPr>
            <w:tcW w:w="1511"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Mit kell tudniuk az értékelésről?</w:t>
            </w:r>
          </w:p>
        </w:tc>
        <w:tc>
          <w:tcPr>
            <w:tcW w:w="1511"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Mi a jelenlegi tudásszintjük az értékeléssel kapcsolatosan?</w:t>
            </w:r>
          </w:p>
        </w:tc>
        <w:tc>
          <w:tcPr>
            <w:tcW w:w="1511"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Hogyan?</w:t>
            </w:r>
          </w:p>
        </w:tc>
        <w:tc>
          <w:tcPr>
            <w:tcW w:w="1511"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Mikor?</w:t>
            </w:r>
          </w:p>
        </w:tc>
        <w:tc>
          <w:tcPr>
            <w:tcW w:w="1512" w:type="dxa"/>
            <w:shd w:val="clear" w:color="auto" w:fill="E7E6E6" w:themeFill="background2"/>
          </w:tcPr>
          <w:p w:rsidR="00170A1A" w:rsidRPr="00BB2924" w:rsidRDefault="00170A1A" w:rsidP="006A75AC">
            <w:pPr>
              <w:pStyle w:val="Htableleftbolt"/>
              <w:rPr>
                <w:rFonts w:cs="Arial"/>
                <w:color w:val="5B9BD5" w:themeColor="accent1"/>
                <w:highlight w:val="yellow"/>
              </w:rPr>
            </w:pPr>
            <w:r>
              <w:rPr>
                <w:color w:val="5B9BD5" w:themeColor="accent1"/>
                <w:highlight w:val="yellow"/>
              </w:rPr>
              <w:t>Ki hajtja végre?</w:t>
            </w:r>
          </w:p>
        </w:tc>
      </w:tr>
      <w:tr w:rsidR="00170A1A" w:rsidRPr="00BB2924" w:rsidTr="008768CB">
        <w:trPr>
          <w:trHeight w:val="464"/>
          <w:jc w:val="center"/>
        </w:trPr>
        <w:tc>
          <w:tcPr>
            <w:tcW w:w="1511" w:type="dxa"/>
            <w:shd w:val="clear" w:color="auto" w:fill="auto"/>
          </w:tcPr>
          <w:p w:rsidR="00170A1A" w:rsidRPr="00BB2924" w:rsidRDefault="00170A1A" w:rsidP="006A75AC">
            <w:pPr>
              <w:pStyle w:val="Htableleft"/>
              <w:rPr>
                <w:rFonts w:cs="Arial"/>
                <w:color w:val="576C88" w:themeColor="text2" w:themeTint="D9"/>
                <w:highlight w:val="yellow"/>
              </w:rPr>
            </w:pPr>
            <w:r>
              <w:rPr>
                <w:color w:val="576C88" w:themeColor="text2" w:themeTint="D9"/>
                <w:highlight w:val="yellow"/>
              </w:rPr>
              <w:t>Szereplők (például az irányító hatóság, a kifizető ügynökség, a HTE, a HACS-k).</w:t>
            </w:r>
          </w:p>
        </w:tc>
        <w:tc>
          <w:tcPr>
            <w:tcW w:w="1511"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Az értékeléssel kapcsolatos technikai és tartalmi kérdések felsorolása,</w:t>
            </w:r>
          </w:p>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például logikai keretrendszer, célkitűzések hierarchiája, beavatkozási logika, monitoring, mutatók, pályáztatás, értékelési eljárás.</w:t>
            </w:r>
          </w:p>
        </w:tc>
        <w:tc>
          <w:tcPr>
            <w:tcW w:w="1511" w:type="dxa"/>
            <w:shd w:val="clear" w:color="auto" w:fill="auto"/>
          </w:tcPr>
          <w:p w:rsidR="00170A1A" w:rsidRPr="00BB2924" w:rsidRDefault="00170A1A" w:rsidP="008768CB">
            <w:pPr>
              <w:pStyle w:val="Htableleft"/>
              <w:rPr>
                <w:rFonts w:cs="Arial"/>
                <w:color w:val="576C88" w:themeColor="text2" w:themeTint="D9"/>
                <w:highlight w:val="yellow"/>
              </w:rPr>
            </w:pPr>
            <w:r>
              <w:rPr>
                <w:color w:val="576C88" w:themeColor="text2" w:themeTint="D9"/>
                <w:highlight w:val="yellow"/>
              </w:rPr>
              <w:t>Az értékeléssel kapcsolatos, azonosított technikai és tartalmi kérdésekre vonatkozó tudás (vagy tudás hiányának) megállapítása kérdőívek vagy felmérések alapján. A kritikus kapacitásépítési igények meghatározása.</w:t>
            </w:r>
          </w:p>
        </w:tc>
        <w:tc>
          <w:tcPr>
            <w:tcW w:w="1511" w:type="dxa"/>
            <w:shd w:val="clear" w:color="auto" w:fill="auto"/>
          </w:tcPr>
          <w:p w:rsidR="00170A1A" w:rsidRPr="00BB2924" w:rsidRDefault="00170A1A" w:rsidP="006A75AC">
            <w:pPr>
              <w:pStyle w:val="Htableleft"/>
              <w:rPr>
                <w:rFonts w:cs="Arial"/>
                <w:color w:val="576C88" w:themeColor="text2" w:themeTint="D9"/>
                <w:highlight w:val="yellow"/>
              </w:rPr>
            </w:pPr>
            <w:r>
              <w:rPr>
                <w:color w:val="576C88" w:themeColor="text2" w:themeTint="D9"/>
                <w:highlight w:val="yellow"/>
              </w:rPr>
              <w:t>A szükséges kapacitás kiépítését célzó intézkedések (például munkaértekezletek, szemináriumok, előadások, képzések, tájékoztató füzetek, hírlevelek, e-képzés).</w:t>
            </w:r>
          </w:p>
        </w:tc>
        <w:tc>
          <w:tcPr>
            <w:tcW w:w="1511" w:type="dxa"/>
            <w:shd w:val="clear" w:color="auto" w:fill="auto"/>
          </w:tcPr>
          <w:p w:rsidR="00170A1A" w:rsidRPr="00BB2924" w:rsidRDefault="00170A1A" w:rsidP="006A75AC">
            <w:pPr>
              <w:pStyle w:val="Htableleft"/>
              <w:rPr>
                <w:rFonts w:cs="Arial"/>
                <w:color w:val="576C88" w:themeColor="text2" w:themeTint="D9"/>
                <w:highlight w:val="yellow"/>
              </w:rPr>
            </w:pPr>
            <w:r>
              <w:rPr>
                <w:color w:val="576C88" w:themeColor="text2" w:themeTint="D9"/>
                <w:highlight w:val="yellow"/>
              </w:rPr>
              <w:t>A kapacitásépítési intézkedések ütemezése és gyakorisága.</w:t>
            </w:r>
          </w:p>
        </w:tc>
        <w:tc>
          <w:tcPr>
            <w:tcW w:w="1512" w:type="dxa"/>
            <w:shd w:val="clear" w:color="auto" w:fill="auto"/>
          </w:tcPr>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A kapacitásépítési intézkedésekhez kapcsolódó felelősségi körök</w:t>
            </w:r>
          </w:p>
          <w:p w:rsidR="00170A1A" w:rsidRPr="00BB2924" w:rsidRDefault="00170A1A" w:rsidP="00B62FBF">
            <w:pPr>
              <w:pStyle w:val="Htableleft"/>
              <w:rPr>
                <w:rFonts w:cs="Arial"/>
                <w:color w:val="576C88" w:themeColor="text2" w:themeTint="D9"/>
                <w:highlight w:val="yellow"/>
              </w:rPr>
            </w:pPr>
            <w:r>
              <w:rPr>
                <w:color w:val="576C88" w:themeColor="text2" w:themeTint="D9"/>
                <w:highlight w:val="yellow"/>
              </w:rPr>
              <w:t>(szervezés és végrehajtás).</w:t>
            </w:r>
          </w:p>
        </w:tc>
      </w:tr>
    </w:tbl>
    <w:p w:rsidR="00170A1A" w:rsidRPr="00BB2924" w:rsidRDefault="00170A1A" w:rsidP="00923616">
      <w:pPr>
        <w:pStyle w:val="HStandard"/>
        <w:rPr>
          <w:highlight w:val="yellow"/>
        </w:rPr>
      </w:pPr>
      <w:r>
        <w:rPr>
          <w:highlight w:val="yellow"/>
        </w:rPr>
        <w:lastRenderedPageBreak/>
        <w:t xml:space="preserve">Az NVH-értékelés tervezésében részt vevő különböző szereplők felelősségi köreit az alábbi </w:t>
      </w:r>
      <w:r w:rsidRPr="00BB2924">
        <w:rPr>
          <w:highlight w:val="yellow"/>
        </w:rPr>
        <w:fldChar w:fldCharType="begin" w:fldLock="1"/>
      </w:r>
      <w:r w:rsidRPr="00BB2924">
        <w:rPr>
          <w:highlight w:val="yellow"/>
        </w:rPr>
        <w:instrText xml:space="preserve"> REF _Ref451784925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4</w:t>
      </w:r>
      <w:r w:rsidRPr="00BB2924">
        <w:rPr>
          <w:highlight w:val="yellow"/>
        </w:rPr>
        <w:fldChar w:fldCharType="end"/>
      </w:r>
      <w:r>
        <w:rPr>
          <w:highlight w:val="yellow"/>
        </w:rPr>
        <w:t xml:space="preserve"> tartalmazza.</w:t>
      </w:r>
    </w:p>
    <w:p w:rsidR="00170A1A" w:rsidRPr="00BB2924" w:rsidRDefault="00170A1A" w:rsidP="001249DA">
      <w:pPr>
        <w:pStyle w:val="HHeadingtables"/>
        <w:rPr>
          <w:highlight w:val="yellow"/>
        </w:rPr>
      </w:pPr>
      <w:bookmarkStart w:id="76" w:name="_Ref451784915"/>
      <w:bookmarkStart w:id="77" w:name="_Ref451784925"/>
      <w:bookmarkStart w:id="78" w:name="_Toc464410798"/>
      <w:r>
        <w:rPr>
          <w:highlight w:val="yellow"/>
        </w:rPr>
        <w:t>Az érdekeltek felelősségi körei az NVH-értékelés megtervezésében</w:t>
      </w:r>
      <w:bookmarkEnd w:id="76"/>
      <w:bookmarkEnd w:id="77"/>
      <w:bookmarkEnd w:id="78"/>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697"/>
        <w:gridCol w:w="1616"/>
        <w:gridCol w:w="1880"/>
        <w:gridCol w:w="1638"/>
        <w:gridCol w:w="1731"/>
      </w:tblGrid>
      <w:tr w:rsidR="00170A1A" w:rsidRPr="00BB2924" w:rsidTr="00FC0A30">
        <w:trPr>
          <w:trHeight w:val="581"/>
        </w:trPr>
        <w:tc>
          <w:tcPr>
            <w:tcW w:w="0" w:type="auto"/>
            <w:tcBorders>
              <w:top w:val="nil"/>
              <w:left w:val="nil"/>
              <w:bottom w:val="single" w:sz="4" w:space="0" w:color="000000" w:themeColor="text1"/>
            </w:tcBorders>
          </w:tcPr>
          <w:p w:rsidR="00170A1A" w:rsidRPr="00BB2924" w:rsidRDefault="00170A1A" w:rsidP="008B1515">
            <w:pPr>
              <w:jc w:val="right"/>
              <w:rPr>
                <w:b/>
                <w:color w:val="576C88" w:themeColor="text2" w:themeTint="D9"/>
                <w:szCs w:val="18"/>
                <w:highlight w:val="yellow"/>
              </w:rPr>
            </w:pPr>
          </w:p>
        </w:tc>
        <w:tc>
          <w:tcPr>
            <w:tcW w:w="0" w:type="auto"/>
            <w:shd w:val="clear" w:color="auto" w:fill="E7E6E6" w:themeFill="background2"/>
          </w:tcPr>
          <w:p w:rsidR="00170A1A" w:rsidRPr="00BB2924" w:rsidRDefault="00170A1A" w:rsidP="00FC0A30">
            <w:pPr>
              <w:jc w:val="center"/>
              <w:rPr>
                <w:b/>
                <w:color w:val="5B9BD5" w:themeColor="accent1"/>
                <w:szCs w:val="18"/>
                <w:highlight w:val="yellow"/>
              </w:rPr>
            </w:pPr>
            <w:r>
              <w:rPr>
                <w:b/>
                <w:color w:val="5B9BD5" w:themeColor="accent1"/>
                <w:szCs w:val="18"/>
                <w:highlight w:val="yellow"/>
              </w:rPr>
              <w:t>Intézkedések</w:t>
            </w:r>
          </w:p>
        </w:tc>
        <w:tc>
          <w:tcPr>
            <w:tcW w:w="0" w:type="auto"/>
            <w:gridSpan w:val="4"/>
            <w:shd w:val="clear" w:color="auto" w:fill="E7E6E6" w:themeFill="background2"/>
          </w:tcPr>
          <w:p w:rsidR="00170A1A" w:rsidRPr="00BB2924" w:rsidRDefault="00170A1A" w:rsidP="00FC0A30">
            <w:pPr>
              <w:jc w:val="center"/>
              <w:rPr>
                <w:b/>
                <w:color w:val="5B9BD5" w:themeColor="accent1"/>
                <w:szCs w:val="18"/>
                <w:highlight w:val="yellow"/>
              </w:rPr>
            </w:pPr>
            <w:r>
              <w:rPr>
                <w:b/>
                <w:color w:val="5B9BD5" w:themeColor="accent1"/>
                <w:szCs w:val="18"/>
                <w:highlight w:val="yellow"/>
              </w:rPr>
              <w:t>Szereplők</w:t>
            </w:r>
          </w:p>
        </w:tc>
      </w:tr>
      <w:tr w:rsidR="00170A1A" w:rsidRPr="00BB2924" w:rsidTr="00937568">
        <w:trPr>
          <w:cantSplit/>
          <w:trHeight w:val="829"/>
        </w:trPr>
        <w:tc>
          <w:tcPr>
            <w:tcW w:w="0" w:type="auto"/>
            <w:shd w:val="clear" w:color="auto" w:fill="E7E6E6" w:themeFill="background2"/>
            <w:textDirection w:val="tbRl"/>
          </w:tcPr>
          <w:p w:rsidR="00170A1A" w:rsidRPr="00BB2924" w:rsidRDefault="00170A1A" w:rsidP="00FC0A30">
            <w:pPr>
              <w:ind w:left="113" w:right="113"/>
              <w:jc w:val="center"/>
              <w:rPr>
                <w:b/>
                <w:color w:val="5B9BD5" w:themeColor="accent1"/>
                <w:szCs w:val="18"/>
                <w:highlight w:val="yellow"/>
              </w:rPr>
            </w:pPr>
            <w:r>
              <w:rPr>
                <w:b/>
                <w:color w:val="5B9BD5" w:themeColor="accent1"/>
                <w:szCs w:val="18"/>
                <w:highlight w:val="yellow"/>
              </w:rPr>
              <w:t>Szakasz</w:t>
            </w: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Lépés</w:t>
            </w:r>
          </w:p>
        </w:tc>
        <w:tc>
          <w:tcPr>
            <w:tcW w:w="0" w:type="auto"/>
          </w:tcPr>
          <w:p w:rsidR="00170A1A" w:rsidRPr="00BB2924" w:rsidRDefault="00170A1A" w:rsidP="008B1515">
            <w:pPr>
              <w:rPr>
                <w:i/>
                <w:color w:val="576C88" w:themeColor="text2" w:themeTint="D9"/>
                <w:szCs w:val="18"/>
                <w:highlight w:val="yellow"/>
              </w:rPr>
            </w:pPr>
            <w:r>
              <w:rPr>
                <w:i/>
                <w:color w:val="576C88" w:themeColor="text2" w:themeTint="D9"/>
                <w:szCs w:val="18"/>
                <w:highlight w:val="yellow"/>
              </w:rPr>
              <w:t>Irányító hatóság</w:t>
            </w:r>
          </w:p>
        </w:tc>
        <w:tc>
          <w:tcPr>
            <w:tcW w:w="0" w:type="auto"/>
          </w:tcPr>
          <w:p w:rsidR="00170A1A" w:rsidRPr="00BB2924" w:rsidRDefault="00170A1A" w:rsidP="008B1515">
            <w:pPr>
              <w:rPr>
                <w:i/>
                <w:color w:val="576C88" w:themeColor="text2" w:themeTint="D9"/>
                <w:szCs w:val="18"/>
                <w:highlight w:val="yellow"/>
              </w:rPr>
            </w:pPr>
            <w:r>
              <w:rPr>
                <w:i/>
                <w:color w:val="576C88" w:themeColor="text2" w:themeTint="D9"/>
                <w:szCs w:val="18"/>
                <w:highlight w:val="yellow"/>
              </w:rPr>
              <w:t>az irányító hatóság más egységei</w:t>
            </w:r>
          </w:p>
        </w:tc>
        <w:tc>
          <w:tcPr>
            <w:tcW w:w="0" w:type="auto"/>
          </w:tcPr>
          <w:p w:rsidR="00170A1A" w:rsidRPr="00BB2924" w:rsidRDefault="00170A1A" w:rsidP="008B1515">
            <w:pPr>
              <w:rPr>
                <w:i/>
                <w:color w:val="576C88" w:themeColor="text2" w:themeTint="D9"/>
                <w:szCs w:val="18"/>
                <w:highlight w:val="yellow"/>
              </w:rPr>
            </w:pPr>
            <w:r>
              <w:rPr>
                <w:i/>
                <w:color w:val="576C88" w:themeColor="text2" w:themeTint="D9"/>
                <w:szCs w:val="18"/>
                <w:highlight w:val="yellow"/>
              </w:rPr>
              <w:t>HTE</w:t>
            </w:r>
          </w:p>
        </w:tc>
        <w:tc>
          <w:tcPr>
            <w:tcW w:w="0" w:type="auto"/>
          </w:tcPr>
          <w:p w:rsidR="00170A1A" w:rsidRPr="00BB2924" w:rsidRDefault="00170A1A" w:rsidP="008B1515">
            <w:pPr>
              <w:rPr>
                <w:i/>
                <w:color w:val="576C88" w:themeColor="text2" w:themeTint="D9"/>
                <w:szCs w:val="18"/>
                <w:highlight w:val="yellow"/>
              </w:rPr>
            </w:pPr>
            <w:r>
              <w:rPr>
                <w:i/>
                <w:color w:val="576C88" w:themeColor="text2" w:themeTint="D9"/>
                <w:szCs w:val="18"/>
                <w:highlight w:val="yellow"/>
              </w:rPr>
              <w:t>Egyéb résztvevők</w:t>
            </w:r>
          </w:p>
        </w:tc>
      </w:tr>
      <w:tr w:rsidR="00170A1A" w:rsidRPr="00BB2924" w:rsidTr="00FC0A30">
        <w:tc>
          <w:tcPr>
            <w:tcW w:w="0" w:type="auto"/>
            <w:vMerge w:val="restart"/>
            <w:shd w:val="clear" w:color="auto" w:fill="E7E6E6" w:themeFill="background2"/>
            <w:textDirection w:val="tbRl"/>
          </w:tcPr>
          <w:p w:rsidR="00170A1A" w:rsidRPr="00BB2924" w:rsidRDefault="00170A1A" w:rsidP="00FC0A30">
            <w:pPr>
              <w:ind w:left="113" w:right="113"/>
              <w:jc w:val="center"/>
              <w:rPr>
                <w:b/>
                <w:color w:val="5B9BD5" w:themeColor="accent1"/>
                <w:szCs w:val="18"/>
                <w:highlight w:val="yellow"/>
              </w:rPr>
            </w:pPr>
            <w:r>
              <w:rPr>
                <w:b/>
                <w:color w:val="5B9BD5" w:themeColor="accent1"/>
                <w:szCs w:val="18"/>
                <w:highlight w:val="yellow"/>
              </w:rPr>
              <w:t>Tervezés</w:t>
            </w: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Folyamat és ütemterv</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Felelős/résztvevő</w:t>
            </w:r>
          </w:p>
        </w:tc>
        <w:tc>
          <w:tcPr>
            <w:tcW w:w="0" w:type="auto"/>
          </w:tcPr>
          <w:p w:rsidR="00170A1A" w:rsidRPr="00BB2924" w:rsidRDefault="00170A1A" w:rsidP="008B1515">
            <w:pPr>
              <w:rPr>
                <w:color w:val="576C88" w:themeColor="text2" w:themeTint="D9"/>
                <w:szCs w:val="18"/>
                <w:highlight w:val="yellow"/>
              </w:rPr>
            </w:pP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Résztvevő/felelős</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Esetleges irányító csoport, kifizető ügynökség részvétele</w:t>
            </w:r>
          </w:p>
        </w:tc>
      </w:tr>
      <w:tr w:rsidR="00170A1A" w:rsidRPr="00BB2924" w:rsidTr="00FC0A30">
        <w:tc>
          <w:tcPr>
            <w:tcW w:w="0" w:type="auto"/>
            <w:vMerge/>
            <w:shd w:val="clear" w:color="auto" w:fill="E7E6E6" w:themeFill="background2"/>
            <w:textDirection w:val="tbRl"/>
          </w:tcPr>
          <w:p w:rsidR="00170A1A" w:rsidRPr="00BB2924" w:rsidRDefault="00170A1A" w:rsidP="008B1515">
            <w:pPr>
              <w:ind w:left="113" w:right="113"/>
              <w:rPr>
                <w:color w:val="576C88" w:themeColor="text2" w:themeTint="D9"/>
                <w:szCs w:val="18"/>
                <w:highlight w:val="yellow"/>
              </w:rPr>
            </w:pP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Értékelési igények</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Felelős/résztvevő</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Ha van értékelési egység, részt vehet</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Résztvevő/felelős</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Az NVH koordináló szerve</w:t>
            </w:r>
          </w:p>
        </w:tc>
      </w:tr>
      <w:tr w:rsidR="00170A1A" w:rsidRPr="00BB2924" w:rsidTr="00FC0A30">
        <w:tc>
          <w:tcPr>
            <w:tcW w:w="0" w:type="auto"/>
            <w:vMerge/>
            <w:shd w:val="clear" w:color="auto" w:fill="E7E6E6" w:themeFill="background2"/>
            <w:textDirection w:val="tbRl"/>
          </w:tcPr>
          <w:p w:rsidR="00170A1A" w:rsidRPr="00BB2924" w:rsidRDefault="00170A1A" w:rsidP="008B1515">
            <w:pPr>
              <w:ind w:left="113" w:right="113"/>
              <w:rPr>
                <w:color w:val="576C88" w:themeColor="text2" w:themeTint="D9"/>
                <w:szCs w:val="18"/>
                <w:highlight w:val="yellow"/>
              </w:rPr>
            </w:pP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Kommunikációs terv</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Felelős/résztvevő</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Ha van kommunikációs egység, részt vehet</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Résztvevő/felelős</w:t>
            </w:r>
          </w:p>
        </w:tc>
        <w:tc>
          <w:tcPr>
            <w:tcW w:w="0" w:type="auto"/>
          </w:tcPr>
          <w:p w:rsidR="00170A1A" w:rsidRPr="00BB2924" w:rsidRDefault="00170A1A" w:rsidP="008B1515">
            <w:pPr>
              <w:rPr>
                <w:color w:val="576C88" w:themeColor="text2" w:themeTint="D9"/>
                <w:szCs w:val="18"/>
                <w:highlight w:val="yellow"/>
              </w:rPr>
            </w:pPr>
          </w:p>
        </w:tc>
      </w:tr>
      <w:tr w:rsidR="00170A1A" w:rsidRPr="00BB2924" w:rsidTr="00FC0A30">
        <w:tc>
          <w:tcPr>
            <w:tcW w:w="0" w:type="auto"/>
            <w:vMerge/>
            <w:shd w:val="clear" w:color="auto" w:fill="E7E6E6" w:themeFill="background2"/>
            <w:textDirection w:val="tbRl"/>
          </w:tcPr>
          <w:p w:rsidR="00170A1A" w:rsidRPr="00BB2924" w:rsidRDefault="00170A1A" w:rsidP="008B1515">
            <w:pPr>
              <w:ind w:left="113" w:right="113"/>
              <w:rPr>
                <w:color w:val="576C88" w:themeColor="text2" w:themeTint="D9"/>
                <w:szCs w:val="18"/>
                <w:highlight w:val="yellow"/>
              </w:rPr>
            </w:pP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Kapacitásépítési terv</w:t>
            </w: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Felelős/résztvevő</w:t>
            </w:r>
          </w:p>
        </w:tc>
        <w:tc>
          <w:tcPr>
            <w:tcW w:w="0" w:type="auto"/>
          </w:tcPr>
          <w:p w:rsidR="00170A1A" w:rsidRPr="00BB2924" w:rsidRDefault="00170A1A" w:rsidP="008B1515">
            <w:pPr>
              <w:rPr>
                <w:color w:val="576C88" w:themeColor="text2" w:themeTint="D9"/>
                <w:szCs w:val="18"/>
                <w:highlight w:val="yellow"/>
              </w:rPr>
            </w:pPr>
          </w:p>
        </w:tc>
        <w:tc>
          <w:tcPr>
            <w:tcW w:w="0" w:type="auto"/>
          </w:tcPr>
          <w:p w:rsidR="00170A1A" w:rsidRPr="00BB2924" w:rsidRDefault="00170A1A" w:rsidP="008B1515">
            <w:pPr>
              <w:rPr>
                <w:color w:val="576C88" w:themeColor="text2" w:themeTint="D9"/>
                <w:szCs w:val="18"/>
                <w:highlight w:val="yellow"/>
              </w:rPr>
            </w:pPr>
            <w:r>
              <w:rPr>
                <w:color w:val="576C88" w:themeColor="text2" w:themeTint="D9"/>
                <w:szCs w:val="18"/>
                <w:highlight w:val="yellow"/>
              </w:rPr>
              <w:t>Résztvevő/felelős</w:t>
            </w:r>
          </w:p>
        </w:tc>
        <w:tc>
          <w:tcPr>
            <w:tcW w:w="0" w:type="auto"/>
          </w:tcPr>
          <w:p w:rsidR="00170A1A" w:rsidRPr="00BB2924" w:rsidRDefault="00170A1A" w:rsidP="008B1515">
            <w:pPr>
              <w:rPr>
                <w:color w:val="576C88" w:themeColor="text2" w:themeTint="D9"/>
                <w:szCs w:val="18"/>
                <w:highlight w:val="yellow"/>
              </w:rPr>
            </w:pPr>
          </w:p>
        </w:tc>
      </w:tr>
    </w:tbl>
    <w:p w:rsidR="00170A1A" w:rsidRPr="00BB2924" w:rsidRDefault="00170A1A" w:rsidP="00992336">
      <w:pPr>
        <w:pStyle w:val="HStandard"/>
        <w:rPr>
          <w:highlight w:val="yellow"/>
        </w:rPr>
      </w:pPr>
    </w:p>
    <w:p w:rsidR="00170A1A" w:rsidRPr="00BB2924" w:rsidRDefault="00170A1A" w:rsidP="00FC0A30">
      <w:pPr>
        <w:pStyle w:val="HHeading3"/>
        <w:rPr>
          <w:highlight w:val="yellow"/>
        </w:rPr>
      </w:pPr>
      <w:r>
        <w:br w:type="column"/>
      </w:r>
      <w:bookmarkStart w:id="79" w:name="_Toc464410792"/>
      <w:r>
        <w:rPr>
          <w:highlight w:val="yellow"/>
        </w:rPr>
        <w:lastRenderedPageBreak/>
        <w:t>Az NVH-értékelés előkészítése</w:t>
      </w:r>
      <w:bookmarkEnd w:id="79"/>
    </w:p>
    <w:p w:rsidR="00170A1A" w:rsidRPr="00BB2924" w:rsidRDefault="00170A1A" w:rsidP="00FC0A30">
      <w:pPr>
        <w:pStyle w:val="HStandard"/>
        <w:rPr>
          <w:highlight w:val="yellow"/>
        </w:rPr>
      </w:pPr>
      <w:r>
        <w:rPr>
          <w:highlight w:val="yellow"/>
        </w:rPr>
        <w:t xml:space="preserve">Az NVH-értékelés előkészítésekor különösen fontos meghatározni az NVH-értékelés összes típusának alapját: az NVH beavatkozási logikáját és az értékelési rendszert, amelyek az NVH-val kapcsolatos közös és programspecifikus értékelési kérdésekből és mutatókból állnak. Azt is nélkülözhetetlen meghatározni, hogy milyen adatokat kell gyűjteni, és hogy az érdekeltek által az értékeléstől várt információk hogyan szerezhetők meg. Az NVH beavatkozási logikáját és az értékelési rendszert ideális esetben azelőtt kell előkészíteni, hogy az NVH-t megvalósítják a teljes programozási időszakra (minden NVH-értékeléshez), vagy mielőtt bármilyen egyszeri NVH-értékelést hajtanak végre a programozási időszak bármely időpontjában. </w:t>
      </w:r>
    </w:p>
    <w:p w:rsidR="00170A1A" w:rsidRPr="00BB2924" w:rsidRDefault="00170A1A" w:rsidP="00FC0A30">
      <w:pPr>
        <w:pStyle w:val="HStandard"/>
        <w:rPr>
          <w:highlight w:val="yellow"/>
        </w:rPr>
      </w:pPr>
      <w:r>
        <w:rPr>
          <w:b/>
          <w:highlight w:val="yellow"/>
        </w:rPr>
        <w:t>Az előkészítési időszak fő lépései a következők</w:t>
      </w:r>
      <w:r>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170A1A" w:rsidRPr="00BB2924" w:rsidTr="00406CAA">
        <w:trPr>
          <w:trHeight w:val="488"/>
        </w:trPr>
        <w:tc>
          <w:tcPr>
            <w:tcW w:w="846" w:type="dxa"/>
            <w:shd w:val="clear" w:color="auto" w:fill="E7E6E6" w:themeFill="background2"/>
          </w:tcPr>
          <w:p w:rsidR="00170A1A" w:rsidRPr="00BB2924" w:rsidRDefault="00170A1A" w:rsidP="00406CAA">
            <w:pPr>
              <w:pStyle w:val="HStandard"/>
              <w:jc w:val="center"/>
              <w:rPr>
                <w:b/>
                <w:color w:val="5B9BD5" w:themeColor="accent1"/>
                <w:sz w:val="18"/>
                <w:szCs w:val="18"/>
                <w:highlight w:val="yellow"/>
              </w:rPr>
            </w:pPr>
            <w:r>
              <w:rPr>
                <w:b/>
                <w:color w:val="5B9BD5" w:themeColor="accent1"/>
                <w:sz w:val="18"/>
                <w:szCs w:val="18"/>
                <w:highlight w:val="yellow"/>
              </w:rPr>
              <w:t>1.</w:t>
            </w:r>
          </w:p>
        </w:tc>
        <w:tc>
          <w:tcPr>
            <w:tcW w:w="8170" w:type="dxa"/>
          </w:tcPr>
          <w:p w:rsidR="00170A1A" w:rsidRPr="00BB2924" w:rsidRDefault="00170A1A" w:rsidP="00FC0A30">
            <w:pPr>
              <w:pStyle w:val="HStandard"/>
              <w:rPr>
                <w:sz w:val="18"/>
                <w:szCs w:val="18"/>
                <w:highlight w:val="yellow"/>
              </w:rPr>
            </w:pPr>
            <w:r>
              <w:rPr>
                <w:sz w:val="18"/>
                <w:szCs w:val="18"/>
                <w:highlight w:val="yellow"/>
              </w:rPr>
              <w:t>Az NVH beavatkozási logikájának kialakítása.</w:t>
            </w:r>
          </w:p>
        </w:tc>
      </w:tr>
      <w:tr w:rsidR="00170A1A" w:rsidRPr="00BB2924" w:rsidTr="00406CAA">
        <w:tc>
          <w:tcPr>
            <w:tcW w:w="846" w:type="dxa"/>
            <w:shd w:val="clear" w:color="auto" w:fill="E7E6E6" w:themeFill="background2"/>
          </w:tcPr>
          <w:p w:rsidR="00170A1A" w:rsidRPr="00BB2924" w:rsidRDefault="00170A1A" w:rsidP="00406CAA">
            <w:pPr>
              <w:pStyle w:val="HStandard"/>
              <w:jc w:val="center"/>
              <w:rPr>
                <w:b/>
                <w:color w:val="5B9BD5" w:themeColor="accent1"/>
                <w:sz w:val="18"/>
                <w:szCs w:val="18"/>
                <w:highlight w:val="yellow"/>
              </w:rPr>
            </w:pPr>
            <w:r>
              <w:rPr>
                <w:b/>
                <w:color w:val="5B9BD5" w:themeColor="accent1"/>
                <w:sz w:val="18"/>
                <w:szCs w:val="18"/>
                <w:highlight w:val="yellow"/>
              </w:rPr>
              <w:t>2.</w:t>
            </w:r>
          </w:p>
        </w:tc>
        <w:tc>
          <w:tcPr>
            <w:tcW w:w="8170" w:type="dxa"/>
          </w:tcPr>
          <w:p w:rsidR="00170A1A" w:rsidRPr="00BB2924" w:rsidRDefault="00170A1A" w:rsidP="005E5B66">
            <w:pPr>
              <w:pStyle w:val="HStandard"/>
              <w:rPr>
                <w:sz w:val="18"/>
                <w:szCs w:val="18"/>
                <w:highlight w:val="yellow"/>
              </w:rPr>
            </w:pPr>
            <w:r>
              <w:rPr>
                <w:sz w:val="18"/>
                <w:szCs w:val="18"/>
                <w:highlight w:val="yellow"/>
              </w:rPr>
              <w:t>Az NVH-val kapcsolatos értékelési kérdések és mutatók felülvizsgálata/meghatározása, valamint ezek és a beavatkozási logika közötti konzisztencia ellenőrzése.</w:t>
            </w:r>
          </w:p>
        </w:tc>
      </w:tr>
      <w:tr w:rsidR="00170A1A" w:rsidRPr="00BB2924" w:rsidTr="00406CAA">
        <w:tc>
          <w:tcPr>
            <w:tcW w:w="846" w:type="dxa"/>
            <w:shd w:val="clear" w:color="auto" w:fill="E7E6E6" w:themeFill="background2"/>
          </w:tcPr>
          <w:p w:rsidR="00170A1A" w:rsidRPr="00BB2924" w:rsidRDefault="00170A1A" w:rsidP="00406CAA">
            <w:pPr>
              <w:pStyle w:val="HStandard"/>
              <w:jc w:val="center"/>
              <w:rPr>
                <w:b/>
                <w:color w:val="5B9BD5" w:themeColor="accent1"/>
                <w:sz w:val="18"/>
                <w:szCs w:val="18"/>
                <w:highlight w:val="yellow"/>
              </w:rPr>
            </w:pPr>
            <w:r>
              <w:rPr>
                <w:b/>
                <w:color w:val="5B9BD5" w:themeColor="accent1"/>
                <w:sz w:val="18"/>
                <w:szCs w:val="18"/>
                <w:highlight w:val="yellow"/>
              </w:rPr>
              <w:t>3.</w:t>
            </w:r>
          </w:p>
        </w:tc>
        <w:tc>
          <w:tcPr>
            <w:tcW w:w="8170" w:type="dxa"/>
          </w:tcPr>
          <w:p w:rsidR="00170A1A" w:rsidRPr="00BB2924" w:rsidRDefault="00170A1A" w:rsidP="00FC0A30">
            <w:pPr>
              <w:pStyle w:val="HStandard"/>
              <w:rPr>
                <w:sz w:val="18"/>
                <w:szCs w:val="18"/>
                <w:highlight w:val="yellow"/>
              </w:rPr>
            </w:pPr>
            <w:r>
              <w:rPr>
                <w:sz w:val="18"/>
                <w:szCs w:val="18"/>
                <w:highlight w:val="yellow"/>
              </w:rPr>
              <w:t>Az előnyben részesített értékelési megközelítés kiválasztása.</w:t>
            </w:r>
          </w:p>
        </w:tc>
      </w:tr>
      <w:tr w:rsidR="00170A1A" w:rsidRPr="00BB2924" w:rsidTr="00406CAA">
        <w:tc>
          <w:tcPr>
            <w:tcW w:w="846" w:type="dxa"/>
            <w:shd w:val="clear" w:color="auto" w:fill="E7E6E6" w:themeFill="background2"/>
          </w:tcPr>
          <w:p w:rsidR="00170A1A" w:rsidRPr="00BB2924" w:rsidRDefault="00170A1A" w:rsidP="00406CAA">
            <w:pPr>
              <w:pStyle w:val="HStandard"/>
              <w:jc w:val="center"/>
              <w:rPr>
                <w:b/>
                <w:color w:val="5B9BD5" w:themeColor="accent1"/>
                <w:sz w:val="18"/>
                <w:szCs w:val="18"/>
                <w:highlight w:val="yellow"/>
              </w:rPr>
            </w:pPr>
            <w:r>
              <w:rPr>
                <w:b/>
                <w:color w:val="5B9BD5" w:themeColor="accent1"/>
                <w:sz w:val="18"/>
                <w:szCs w:val="18"/>
                <w:highlight w:val="yellow"/>
              </w:rPr>
              <w:t>4.</w:t>
            </w:r>
          </w:p>
        </w:tc>
        <w:tc>
          <w:tcPr>
            <w:tcW w:w="8170" w:type="dxa"/>
          </w:tcPr>
          <w:p w:rsidR="00170A1A" w:rsidRPr="00BB2924" w:rsidRDefault="00170A1A" w:rsidP="00FC0A30">
            <w:pPr>
              <w:pStyle w:val="HStandard"/>
              <w:rPr>
                <w:sz w:val="18"/>
                <w:szCs w:val="18"/>
                <w:highlight w:val="yellow"/>
              </w:rPr>
            </w:pPr>
            <w:r>
              <w:rPr>
                <w:sz w:val="18"/>
                <w:szCs w:val="18"/>
                <w:highlight w:val="yellow"/>
              </w:rPr>
              <w:t>A szükséges információk és adatok, valamint a lehetséges források szűrése.</w:t>
            </w:r>
          </w:p>
        </w:tc>
      </w:tr>
      <w:tr w:rsidR="00170A1A" w:rsidRPr="00BB2924" w:rsidTr="00406CAA">
        <w:tc>
          <w:tcPr>
            <w:tcW w:w="846" w:type="dxa"/>
            <w:shd w:val="clear" w:color="auto" w:fill="E7E6E6" w:themeFill="background2"/>
          </w:tcPr>
          <w:p w:rsidR="00170A1A" w:rsidRPr="00BB2924" w:rsidRDefault="00170A1A" w:rsidP="00406CAA">
            <w:pPr>
              <w:pStyle w:val="HStandard"/>
              <w:jc w:val="center"/>
              <w:rPr>
                <w:b/>
                <w:color w:val="5B9BD5" w:themeColor="accent1"/>
                <w:sz w:val="18"/>
                <w:szCs w:val="18"/>
                <w:highlight w:val="yellow"/>
              </w:rPr>
            </w:pPr>
            <w:r>
              <w:rPr>
                <w:b/>
                <w:color w:val="5B9BD5" w:themeColor="accent1"/>
                <w:sz w:val="18"/>
                <w:szCs w:val="18"/>
                <w:highlight w:val="yellow"/>
              </w:rPr>
              <w:t>5.</w:t>
            </w:r>
          </w:p>
        </w:tc>
        <w:tc>
          <w:tcPr>
            <w:tcW w:w="8170" w:type="dxa"/>
          </w:tcPr>
          <w:p w:rsidR="00170A1A" w:rsidRPr="00BB2924" w:rsidRDefault="00170A1A" w:rsidP="00FC0A30">
            <w:pPr>
              <w:pStyle w:val="HStandard"/>
              <w:rPr>
                <w:sz w:val="18"/>
                <w:szCs w:val="18"/>
                <w:highlight w:val="yellow"/>
              </w:rPr>
            </w:pPr>
            <w:r>
              <w:rPr>
                <w:sz w:val="18"/>
                <w:szCs w:val="18"/>
                <w:highlight w:val="yellow"/>
              </w:rPr>
              <w:t>Pályáztatás és külső értékelő kiválasztása.</w:t>
            </w:r>
          </w:p>
        </w:tc>
      </w:tr>
    </w:tbl>
    <w:p w:rsidR="00170A1A" w:rsidRPr="00BB2924" w:rsidRDefault="00170A1A" w:rsidP="00FC0A30">
      <w:pPr>
        <w:pStyle w:val="HHeading5"/>
        <w:rPr>
          <w:highlight w:val="yellow"/>
        </w:rPr>
      </w:pPr>
      <w:r>
        <w:rPr>
          <w:highlight w:val="yellow"/>
        </w:rPr>
        <w:t>1. lépés: Az NVH beavatkozási logikájának kialakítása</w:t>
      </w:r>
    </w:p>
    <w:p w:rsidR="00170A1A" w:rsidRPr="00BB2924" w:rsidRDefault="00170A1A" w:rsidP="00FC0A30">
      <w:pPr>
        <w:pStyle w:val="HStandard"/>
        <w:rPr>
          <w:highlight w:val="yellow"/>
        </w:rPr>
      </w:pPr>
      <w:r>
        <w:rPr>
          <w:highlight w:val="yellow"/>
        </w:rPr>
        <w:t>A VFP részét képező NVH vagy különálló program (NVHP) beavatkozási logikája lényeges alappillér mind a működés, mind az értékelés szempontjából. A beavatkozási logika olyan módszertani eszköz, amely összekapcsolja a GYELV-elemzést, a programterület NVH-val kapcsolatos igényeit, a hálózati célkitűzéseket, az NVH tevékenységeit/költségvetéseit és a hálózati kimenetekben, eredményekben és hatásokban megnyilvánuló várt kihatásokat</w:t>
      </w:r>
      <w:r>
        <w:rPr>
          <w:rFonts w:ascii="ZWAdobeF" w:hAnsi="ZWAdobeF"/>
          <w:color w:val="auto"/>
          <w:sz w:val="2"/>
          <w:szCs w:val="2"/>
          <w:highlight w:val="yellow"/>
        </w:rPr>
        <w:t>65F</w:t>
      </w:r>
      <w:r w:rsidRPr="00BB2924">
        <w:rPr>
          <w:rStyle w:val="FootnoteReference"/>
          <w:highlight w:val="yellow"/>
        </w:rPr>
        <w:footnoteReference w:id="66"/>
      </w:r>
      <w:r>
        <w:rPr>
          <w:highlight w:val="yellow"/>
        </w:rPr>
        <w:t xml:space="preserve">. (Lásd </w:t>
      </w:r>
      <w:r w:rsidRPr="00BB2924">
        <w:rPr>
          <w:highlight w:val="yellow"/>
        </w:rPr>
        <w:fldChar w:fldCharType="begin" w:fldLock="1"/>
      </w:r>
      <w:r w:rsidRPr="00BB2924">
        <w:rPr>
          <w:highlight w:val="yellow"/>
        </w:rPr>
        <w:instrText xml:space="preserve"> REF _Ref451784505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6</w:t>
      </w:r>
      <w:r w:rsidRPr="00BB2924">
        <w:rPr>
          <w:highlight w:val="yellow"/>
        </w:rPr>
        <w:fldChar w:fldCharType="end"/>
      </w:r>
      <w:r>
        <w:rPr>
          <w:highlight w:val="yellow"/>
        </w:rPr>
        <w:t xml:space="preserve"> az 1.4.2. fejezetben) </w:t>
      </w:r>
      <w:bookmarkStart w:id="80" w:name="_Ref434414555"/>
    </w:p>
    <w:bookmarkEnd w:id="80"/>
    <w:p w:rsidR="00170A1A" w:rsidRPr="00BB2924" w:rsidRDefault="00170A1A" w:rsidP="00FC0A30">
      <w:pPr>
        <w:pStyle w:val="HStandard"/>
        <w:rPr>
          <w:highlight w:val="yellow"/>
        </w:rPr>
      </w:pPr>
      <w:r>
        <w:rPr>
          <w:highlight w:val="yellow"/>
        </w:rPr>
        <w:t>Az NVHP beavatkozási logikáját a program tervezési fázisában kell kialakítani, konzisztenciáját és relevanciáját pedig egy előzetes értékelés során kell megítélni. A VFP keretében működő NVH beavatkozási logikáját ezzel szemben nem mindig dolgozzák ki teljes mértékben; gyakran előfordul, hogy a VFP csupán a négy közös NVH-célkitűzést és a közös intézkedéscsoportokat tartalmazza. Az NVH-értékelésnek azonban az NVH beavatkozási logikája az alapja, ezért azt az értékelés megkezdése előtt kell kidolgozni/véglegesíteni.</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406CAA">
        <w:tc>
          <w:tcPr>
            <w:tcW w:w="9016" w:type="dxa"/>
            <w:shd w:val="clear" w:color="auto" w:fill="F5F4F4" w:themeFill="background2" w:themeFillTint="66"/>
          </w:tcPr>
          <w:p w:rsidR="00170A1A" w:rsidRPr="00BB2924" w:rsidRDefault="00170A1A" w:rsidP="00FC0A30">
            <w:pPr>
              <w:pStyle w:val="HStandard"/>
              <w:rPr>
                <w:highlight w:val="yellow"/>
              </w:rPr>
            </w:pPr>
            <w:r>
              <w:rPr>
                <w:highlight w:val="yellow"/>
              </w:rPr>
              <w:t xml:space="preserve">A beavatkozási logika kialakításában az alábbi kérdések nyújthatnak segítséget: </w:t>
            </w:r>
          </w:p>
          <w:p w:rsidR="00170A1A" w:rsidRPr="00BB2924" w:rsidRDefault="00170A1A" w:rsidP="00170A1A">
            <w:pPr>
              <w:pStyle w:val="Hlistbullet"/>
              <w:tabs>
                <w:tab w:val="left" w:pos="567"/>
              </w:tabs>
              <w:rPr>
                <w:highlight w:val="yellow"/>
              </w:rPr>
            </w:pPr>
            <w:r>
              <w:rPr>
                <w:highlight w:val="yellow"/>
              </w:rPr>
              <w:t>Melyek a programterület azon igényei, amelyek az NVH útján kezelhetők?</w:t>
            </w:r>
          </w:p>
          <w:p w:rsidR="00170A1A" w:rsidRPr="00BB2924" w:rsidRDefault="00170A1A" w:rsidP="00170A1A">
            <w:pPr>
              <w:pStyle w:val="Hlistbullet"/>
              <w:tabs>
                <w:tab w:val="left" w:pos="567"/>
              </w:tabs>
              <w:rPr>
                <w:highlight w:val="yellow"/>
              </w:rPr>
            </w:pPr>
            <w:r>
              <w:rPr>
                <w:highlight w:val="yellow"/>
              </w:rPr>
              <w:t xml:space="preserve">Melyek az azonosított igényekhez kapcsolódó, NVH-val összefüggő programspecifikus célkitűzések? </w:t>
            </w:r>
          </w:p>
          <w:p w:rsidR="00170A1A" w:rsidRPr="00BB2924" w:rsidRDefault="00170A1A" w:rsidP="00170A1A">
            <w:pPr>
              <w:pStyle w:val="Hlistbullet"/>
              <w:tabs>
                <w:tab w:val="left" w:pos="567"/>
              </w:tabs>
              <w:rPr>
                <w:highlight w:val="yellow"/>
              </w:rPr>
            </w:pPr>
            <w:r>
              <w:rPr>
                <w:highlight w:val="yellow"/>
              </w:rPr>
              <w:t xml:space="preserve">Mely tevékenységeket kell végrehajtani az NVH-ra vonatkozó programspecifikus célkitűzések megvalósításához? </w:t>
            </w:r>
          </w:p>
          <w:p w:rsidR="00170A1A" w:rsidRPr="00BB2924" w:rsidRDefault="00170A1A" w:rsidP="00170A1A">
            <w:pPr>
              <w:pStyle w:val="Hlistbullet"/>
              <w:tabs>
                <w:tab w:val="left" w:pos="567"/>
              </w:tabs>
              <w:rPr>
                <w:highlight w:val="yellow"/>
              </w:rPr>
            </w:pPr>
            <w:r>
              <w:rPr>
                <w:highlight w:val="yellow"/>
              </w:rPr>
              <w:t>Mely NVH-val kapcsolatos tevékenységeket kell végrehajtani, ha a közös tevékenységek nem biztosítják az NVH-val kapcsolatos programspecifikus célkitűzések teljesítését?</w:t>
            </w:r>
          </w:p>
        </w:tc>
      </w:tr>
    </w:tbl>
    <w:p w:rsidR="00170A1A" w:rsidRPr="00BB2924" w:rsidRDefault="00170A1A" w:rsidP="00FC0A30">
      <w:pPr>
        <w:pStyle w:val="HStandard"/>
        <w:rPr>
          <w:highlight w:val="yellow"/>
        </w:rPr>
      </w:pPr>
      <w:r>
        <w:rPr>
          <w:highlight w:val="yellow"/>
        </w:rPr>
        <w:t xml:space="preserve">Az NVH beavatkozási logikájának kialakítását az </w:t>
      </w:r>
      <w:r>
        <w:rPr>
          <w:b/>
          <w:highlight w:val="yellow"/>
        </w:rPr>
        <w:t>alábbi sorrendben</w:t>
      </w:r>
      <w:r>
        <w:rPr>
          <w:highlight w:val="yellow"/>
        </w:rPr>
        <w:t xml:space="preserve"> kell végrehajtani: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BB2924" w:rsidTr="009A7C06">
        <w:trPr>
          <w:jc w:val="center"/>
        </w:trPr>
        <w:tc>
          <w:tcPr>
            <w:tcW w:w="988" w:type="dxa"/>
            <w:shd w:val="clear" w:color="auto" w:fill="E7E6E6" w:themeFill="background2"/>
          </w:tcPr>
          <w:p w:rsidR="00170A1A" w:rsidRPr="00BB2924" w:rsidRDefault="00170A1A" w:rsidP="009A7C06">
            <w:pPr>
              <w:pStyle w:val="HStandard"/>
              <w:jc w:val="center"/>
              <w:rPr>
                <w:b/>
                <w:color w:val="FFFFFF"/>
                <w:sz w:val="18"/>
                <w:szCs w:val="18"/>
                <w:highlight w:val="yellow"/>
              </w:rPr>
            </w:pPr>
            <w:r>
              <w:rPr>
                <w:b/>
                <w:color w:val="FFFFFF"/>
                <w:sz w:val="18"/>
                <w:szCs w:val="18"/>
                <w:highlight w:val="yellow"/>
              </w:rPr>
              <w:t>a.</w:t>
            </w:r>
          </w:p>
        </w:tc>
        <w:tc>
          <w:tcPr>
            <w:tcW w:w="8028" w:type="dxa"/>
          </w:tcPr>
          <w:p w:rsidR="00170A1A" w:rsidRPr="00BB2924" w:rsidRDefault="00170A1A" w:rsidP="009A7C06">
            <w:pPr>
              <w:pStyle w:val="Hlistbullet"/>
              <w:numPr>
                <w:ilvl w:val="0"/>
                <w:numId w:val="0"/>
              </w:numPr>
              <w:spacing w:before="0" w:line="280" w:lineRule="atLeast"/>
              <w:jc w:val="left"/>
              <w:rPr>
                <w:sz w:val="18"/>
                <w:szCs w:val="18"/>
                <w:highlight w:val="yellow"/>
              </w:rPr>
            </w:pPr>
            <w:r>
              <w:rPr>
                <w:sz w:val="18"/>
                <w:szCs w:val="18"/>
                <w:highlight w:val="yellow"/>
              </w:rPr>
              <w:t>Az igények felmérése és a hálózati kontextus elemzése.</w:t>
            </w:r>
          </w:p>
        </w:tc>
      </w:tr>
      <w:tr w:rsidR="00170A1A" w:rsidRPr="00BB2924" w:rsidTr="009A7C06">
        <w:trPr>
          <w:jc w:val="center"/>
        </w:trPr>
        <w:tc>
          <w:tcPr>
            <w:tcW w:w="988" w:type="dxa"/>
            <w:shd w:val="clear" w:color="auto" w:fill="E7E6E6" w:themeFill="background2"/>
          </w:tcPr>
          <w:p w:rsidR="00170A1A" w:rsidRPr="00BB2924" w:rsidRDefault="00170A1A" w:rsidP="009A7C06">
            <w:pPr>
              <w:pStyle w:val="HStandard"/>
              <w:jc w:val="center"/>
              <w:rPr>
                <w:b/>
                <w:color w:val="FFFFFF"/>
                <w:sz w:val="18"/>
                <w:szCs w:val="18"/>
                <w:highlight w:val="yellow"/>
              </w:rPr>
            </w:pPr>
            <w:r>
              <w:rPr>
                <w:b/>
                <w:color w:val="FFFFFF"/>
                <w:sz w:val="18"/>
                <w:szCs w:val="18"/>
                <w:highlight w:val="yellow"/>
              </w:rPr>
              <w:lastRenderedPageBreak/>
              <w:t>b.</w:t>
            </w:r>
          </w:p>
        </w:tc>
        <w:tc>
          <w:tcPr>
            <w:tcW w:w="8028" w:type="dxa"/>
          </w:tcPr>
          <w:p w:rsidR="00170A1A" w:rsidRPr="00BB2924" w:rsidRDefault="00170A1A" w:rsidP="009A7C06">
            <w:pPr>
              <w:pStyle w:val="HStandard"/>
              <w:jc w:val="left"/>
              <w:rPr>
                <w:b/>
                <w:i/>
                <w:sz w:val="18"/>
                <w:szCs w:val="18"/>
                <w:highlight w:val="yellow"/>
              </w:rPr>
            </w:pPr>
            <w:r>
              <w:rPr>
                <w:sz w:val="18"/>
                <w:szCs w:val="18"/>
                <w:highlight w:val="yellow"/>
              </w:rPr>
              <w:t>A közös hálózati célkitűzések</w:t>
            </w:r>
            <w:r>
              <w:rPr>
                <w:rFonts w:ascii="ZWAdobeF" w:hAnsi="ZWAdobeF"/>
                <w:color w:val="auto"/>
                <w:sz w:val="2"/>
                <w:szCs w:val="2"/>
                <w:highlight w:val="yellow"/>
              </w:rPr>
              <w:t>66F</w:t>
            </w:r>
            <w:r w:rsidRPr="00BB2924">
              <w:rPr>
                <w:sz w:val="18"/>
                <w:szCs w:val="18"/>
                <w:highlight w:val="yellow"/>
                <w:vertAlign w:val="superscript"/>
              </w:rPr>
              <w:footnoteReference w:id="67"/>
            </w:r>
            <w:r>
              <w:rPr>
                <w:sz w:val="18"/>
                <w:szCs w:val="18"/>
                <w:highlight w:val="yellow"/>
                <w:vertAlign w:val="superscript"/>
              </w:rPr>
              <w:t xml:space="preserve"> </w:t>
            </w:r>
            <w:r>
              <w:rPr>
                <w:sz w:val="18"/>
                <w:szCs w:val="18"/>
                <w:highlight w:val="yellow"/>
              </w:rPr>
              <w:t>és intézkedéscsoportok</w:t>
            </w:r>
            <w:r>
              <w:rPr>
                <w:rFonts w:ascii="ZWAdobeF" w:hAnsi="ZWAdobeF"/>
                <w:color w:val="auto"/>
                <w:sz w:val="2"/>
                <w:szCs w:val="2"/>
                <w:highlight w:val="yellow"/>
              </w:rPr>
              <w:t>67F</w:t>
            </w:r>
            <w:r w:rsidRPr="00BB2924">
              <w:rPr>
                <w:sz w:val="18"/>
                <w:szCs w:val="18"/>
                <w:highlight w:val="yellow"/>
                <w:vertAlign w:val="superscript"/>
              </w:rPr>
              <w:footnoteReference w:id="68"/>
            </w:r>
            <w:r>
              <w:rPr>
                <w:sz w:val="18"/>
                <w:szCs w:val="18"/>
                <w:highlight w:val="yellow"/>
              </w:rPr>
              <w:t xml:space="preserve"> felülvizsgálata abból a szempontból, hogy azok relevánsak-e a kontextus- és GYELV-elemzés során meghatározott szükségletek kezelése tekintetében.</w:t>
            </w:r>
          </w:p>
        </w:tc>
      </w:tr>
      <w:tr w:rsidR="00170A1A" w:rsidRPr="00BB2924" w:rsidTr="009A7C06">
        <w:trPr>
          <w:jc w:val="center"/>
        </w:trPr>
        <w:tc>
          <w:tcPr>
            <w:tcW w:w="988" w:type="dxa"/>
            <w:shd w:val="clear" w:color="auto" w:fill="E7E6E6" w:themeFill="background2"/>
          </w:tcPr>
          <w:p w:rsidR="00170A1A" w:rsidRPr="00BB2924" w:rsidRDefault="00170A1A" w:rsidP="009A7C06">
            <w:pPr>
              <w:pStyle w:val="HStandard"/>
              <w:jc w:val="center"/>
              <w:rPr>
                <w:b/>
                <w:color w:val="FFFFFF"/>
                <w:sz w:val="18"/>
                <w:szCs w:val="18"/>
                <w:highlight w:val="yellow"/>
              </w:rPr>
            </w:pPr>
            <w:r>
              <w:rPr>
                <w:b/>
                <w:color w:val="FFFFFF"/>
                <w:sz w:val="18"/>
                <w:szCs w:val="18"/>
                <w:highlight w:val="yellow"/>
              </w:rPr>
              <w:t>c.</w:t>
            </w:r>
          </w:p>
        </w:tc>
        <w:tc>
          <w:tcPr>
            <w:tcW w:w="8028" w:type="dxa"/>
          </w:tcPr>
          <w:p w:rsidR="00170A1A" w:rsidRPr="00BB2924" w:rsidRDefault="00170A1A" w:rsidP="009A7C06">
            <w:pPr>
              <w:pStyle w:val="Hlistbullet"/>
              <w:numPr>
                <w:ilvl w:val="0"/>
                <w:numId w:val="0"/>
              </w:numPr>
              <w:spacing w:before="0" w:line="280" w:lineRule="atLeast"/>
              <w:jc w:val="left"/>
              <w:rPr>
                <w:sz w:val="18"/>
                <w:szCs w:val="18"/>
                <w:highlight w:val="yellow"/>
              </w:rPr>
            </w:pPr>
            <w:r>
              <w:rPr>
                <w:sz w:val="18"/>
                <w:szCs w:val="18"/>
                <w:highlight w:val="yellow"/>
              </w:rPr>
              <w:t>Programspecifikus NVH-célkitűzések meghatározása és megfogalmazása.</w:t>
            </w:r>
          </w:p>
        </w:tc>
      </w:tr>
      <w:tr w:rsidR="00170A1A" w:rsidRPr="00BB2924" w:rsidTr="009A7C06">
        <w:trPr>
          <w:jc w:val="center"/>
        </w:trPr>
        <w:tc>
          <w:tcPr>
            <w:tcW w:w="988" w:type="dxa"/>
            <w:shd w:val="clear" w:color="auto" w:fill="E7E6E6" w:themeFill="background2"/>
          </w:tcPr>
          <w:p w:rsidR="00170A1A" w:rsidRPr="00BB2924" w:rsidRDefault="00170A1A" w:rsidP="009A7C06">
            <w:pPr>
              <w:pStyle w:val="HStandard"/>
              <w:jc w:val="center"/>
              <w:rPr>
                <w:b/>
                <w:color w:val="FFFFFF"/>
                <w:sz w:val="18"/>
                <w:szCs w:val="18"/>
                <w:highlight w:val="yellow"/>
              </w:rPr>
            </w:pPr>
            <w:r>
              <w:rPr>
                <w:b/>
                <w:color w:val="FFFFFF"/>
                <w:sz w:val="18"/>
                <w:szCs w:val="18"/>
                <w:highlight w:val="yellow"/>
              </w:rPr>
              <w:t>d.</w:t>
            </w:r>
          </w:p>
        </w:tc>
        <w:tc>
          <w:tcPr>
            <w:tcW w:w="8028" w:type="dxa"/>
          </w:tcPr>
          <w:p w:rsidR="00170A1A" w:rsidRPr="00BB2924" w:rsidRDefault="00170A1A" w:rsidP="009A7C06">
            <w:pPr>
              <w:pStyle w:val="Hlistbullet"/>
              <w:numPr>
                <w:ilvl w:val="0"/>
                <w:numId w:val="0"/>
              </w:numPr>
              <w:tabs>
                <w:tab w:val="left" w:pos="317"/>
              </w:tabs>
              <w:spacing w:before="0" w:line="280" w:lineRule="atLeast"/>
              <w:jc w:val="left"/>
              <w:rPr>
                <w:sz w:val="18"/>
                <w:szCs w:val="18"/>
                <w:highlight w:val="yellow"/>
              </w:rPr>
            </w:pPr>
            <w:r>
              <w:rPr>
                <w:sz w:val="18"/>
                <w:szCs w:val="18"/>
                <w:highlight w:val="yellow"/>
              </w:rPr>
              <w:t>Az NVH várható kimeneteinek, eredményeinek és hatásainak meghatározása a vidékfejlesztés támogatásának szempontjából, továbbá a programba bevont vidéki területre, valamint a humán- és társadalmi tőkére vonatkozóan.</w:t>
            </w:r>
          </w:p>
        </w:tc>
      </w:tr>
      <w:tr w:rsidR="00170A1A" w:rsidRPr="00BB2924" w:rsidTr="009A7C06">
        <w:trPr>
          <w:jc w:val="center"/>
        </w:trPr>
        <w:tc>
          <w:tcPr>
            <w:tcW w:w="988" w:type="dxa"/>
            <w:shd w:val="clear" w:color="auto" w:fill="E7E6E6" w:themeFill="background2"/>
          </w:tcPr>
          <w:p w:rsidR="00170A1A" w:rsidRPr="00BB2924" w:rsidRDefault="00170A1A" w:rsidP="009A7C06">
            <w:pPr>
              <w:pStyle w:val="HStandard"/>
              <w:jc w:val="center"/>
              <w:rPr>
                <w:b/>
                <w:color w:val="FFFFFF"/>
                <w:sz w:val="18"/>
                <w:szCs w:val="18"/>
                <w:highlight w:val="yellow"/>
              </w:rPr>
            </w:pPr>
            <w:r>
              <w:rPr>
                <w:b/>
                <w:color w:val="FFFFFF"/>
                <w:sz w:val="18"/>
                <w:szCs w:val="18"/>
                <w:highlight w:val="yellow"/>
              </w:rPr>
              <w:t>e.</w:t>
            </w:r>
          </w:p>
        </w:tc>
        <w:tc>
          <w:tcPr>
            <w:tcW w:w="8028" w:type="dxa"/>
          </w:tcPr>
          <w:p w:rsidR="00170A1A" w:rsidRPr="00BB2924" w:rsidRDefault="00170A1A" w:rsidP="009A7C06">
            <w:pPr>
              <w:pStyle w:val="Hlistbullet"/>
              <w:numPr>
                <w:ilvl w:val="0"/>
                <w:numId w:val="0"/>
              </w:numPr>
              <w:spacing w:before="0" w:line="280" w:lineRule="atLeast"/>
              <w:jc w:val="left"/>
              <w:rPr>
                <w:sz w:val="18"/>
                <w:szCs w:val="18"/>
                <w:highlight w:val="yellow"/>
              </w:rPr>
            </w:pPr>
            <w:r>
              <w:rPr>
                <w:sz w:val="18"/>
                <w:szCs w:val="18"/>
                <w:highlight w:val="yellow"/>
              </w:rPr>
              <w:t>Az NVH beavatkozási logikájának kialakítása, függőleges és vízszintes konzisztenciájának ellenőrzése.</w:t>
            </w:r>
          </w:p>
        </w:tc>
      </w:tr>
      <w:tr w:rsidR="00170A1A" w:rsidRPr="00BB2924" w:rsidTr="009A7C06">
        <w:trPr>
          <w:jc w:val="center"/>
        </w:trPr>
        <w:tc>
          <w:tcPr>
            <w:tcW w:w="9016" w:type="dxa"/>
            <w:gridSpan w:val="2"/>
            <w:shd w:val="clear" w:color="auto" w:fill="auto"/>
          </w:tcPr>
          <w:p w:rsidR="00170A1A" w:rsidRPr="00BB2924" w:rsidRDefault="00170A1A" w:rsidP="009A7C06">
            <w:pPr>
              <w:pStyle w:val="HStandard"/>
              <w:jc w:val="left"/>
              <w:rPr>
                <w:sz w:val="18"/>
                <w:szCs w:val="18"/>
                <w:highlight w:val="yellow"/>
              </w:rPr>
            </w:pPr>
            <w:r>
              <w:rPr>
                <w:b/>
                <w:sz w:val="18"/>
                <w:szCs w:val="18"/>
                <w:highlight w:val="yellow"/>
              </w:rPr>
              <w:t>Várható eredmény:</w:t>
            </w:r>
            <w:r>
              <w:rPr>
                <w:sz w:val="18"/>
                <w:szCs w:val="18"/>
                <w:highlight w:val="yellow"/>
              </w:rPr>
              <w:t xml:space="preserve"> az NVH függőlegesen és vízszintesen konzisztens beavatkozási logikája.</w:t>
            </w:r>
          </w:p>
        </w:tc>
      </w:tr>
    </w:tbl>
    <w:p w:rsidR="00170A1A" w:rsidRPr="00BB2924" w:rsidRDefault="00170A1A" w:rsidP="00D7626C">
      <w:pPr>
        <w:pStyle w:val="Heading6"/>
        <w:rPr>
          <w:highlight w:val="yellow"/>
        </w:rPr>
      </w:pPr>
      <w:r>
        <w:rPr>
          <w:highlight w:val="yellow"/>
        </w:rPr>
        <w:t>Az igények felmérése és a hálózati kontextus elemzése</w:t>
      </w:r>
    </w:p>
    <w:p w:rsidR="00170A1A" w:rsidRPr="00BB2924" w:rsidRDefault="00170A1A" w:rsidP="00FC0A30">
      <w:pPr>
        <w:pStyle w:val="HStandard"/>
        <w:rPr>
          <w:highlight w:val="yellow"/>
        </w:rPr>
      </w:pPr>
      <w:r>
        <w:rPr>
          <w:highlight w:val="yellow"/>
        </w:rPr>
        <w:t xml:space="preserve">Az NVH beavatkozási logikájának kialakítása előtt értékelni kell a programterület helyzetét, és azonosítani kell a vidékfejlesztési hálózatok tevékenységével megcélozható igényeket. Ezen a ponton kell továbbá a hálózati paraméterek használatával értékelni a hálózatépítésre vonatkozó igényeket is. A tagállamok érdekelt felei a VFP területének egyedi helyzetét figyelembe véve maguk dönthetik el, hogy az NVH-környezet értékelésére mely hálózati háttérleíró paramétereket használják. Néhány példa háttérleíró paraméterekre: </w:t>
      </w:r>
    </w:p>
    <w:p w:rsidR="00170A1A" w:rsidRPr="00BB2924" w:rsidRDefault="00170A1A" w:rsidP="005368DC">
      <w:pPr>
        <w:pStyle w:val="Hlistbullet2"/>
        <w:rPr>
          <w:highlight w:val="yellow"/>
        </w:rPr>
      </w:pPr>
      <w:r>
        <w:rPr>
          <w:highlight w:val="yellow"/>
        </w:rPr>
        <w:t>A vidékfejlesztési érdekeltek sokfélesége: A vidékfejlesztési érdekeltek helyi, regionális és nemzeti szinten működő, meglévői csoportjainak és/vagy az NVH lehetséges tagjainak feltérképezése, amelyek a következőket képviselik: i. a szélesebb vidéki közösség; ii. a vidékfejlesztési program kedvezményezettjei a rendeletben és programokban meghatározottak szerint, ideértve a helyi akciócsoportokhoz kapcsolódókat; iii. egyéb szereplők, például nem kormányzati szervezetek, vidékfejlesztéshez kapcsolódó kutatási és oktatási szereplők, ideértve az innovációval összefüggő területeken működőket stb.</w:t>
      </w:r>
    </w:p>
    <w:p w:rsidR="00170A1A" w:rsidRPr="00BB2924" w:rsidRDefault="00170A1A" w:rsidP="005368DC">
      <w:pPr>
        <w:pStyle w:val="Hlistbullet2"/>
        <w:rPr>
          <w:highlight w:val="yellow"/>
        </w:rPr>
      </w:pPr>
      <w:r>
        <w:rPr>
          <w:highlight w:val="yellow"/>
        </w:rPr>
        <w:t>Az érdekeltek közötti kapcsolatok Az érdekeltek között már meglévő kapcsolatok és összefüggések feltérképezése, ideértve a meglévő hálózatok résztvevői közötti (belső kapcsolatok) és hálózatok közötti (külső kapcsolatok), már létrehozott, illetve tervezett együttműködési projekteket és tevékenységeket.</w:t>
      </w:r>
    </w:p>
    <w:p w:rsidR="00170A1A" w:rsidRPr="00BB2924" w:rsidRDefault="00170A1A" w:rsidP="005368DC">
      <w:pPr>
        <w:pStyle w:val="Hlistbullet2"/>
        <w:rPr>
          <w:highlight w:val="yellow"/>
        </w:rPr>
      </w:pPr>
      <w:r>
        <w:rPr>
          <w:highlight w:val="yellow"/>
        </w:rPr>
        <w:t xml:space="preserve">A vidékfejlesztési hálózatok működési struktúrájának decentralizáltsági szintje: Olyan meglévő működési és koordinációs struktúrák jellemzése és elemzése, amelyekben NVH-k működnek, figyelembe véve a nemzeti és regionális szintet, valamint a feladatok elosztását (decentralizálás). </w:t>
      </w:r>
    </w:p>
    <w:p w:rsidR="00170A1A" w:rsidRPr="00BB2924" w:rsidRDefault="00170A1A" w:rsidP="005368DC">
      <w:pPr>
        <w:pStyle w:val="Hlistbullet2"/>
        <w:rPr>
          <w:highlight w:val="yellow"/>
        </w:rPr>
      </w:pPr>
      <w:r>
        <w:rPr>
          <w:highlight w:val="yellow"/>
        </w:rPr>
        <w:t>Az aktuális NVH nyitottságának mértéke: Az aktuális hálózat nyitottságának leírása és elemzése a vidéki érdekeltek szélesebb körének részvétele tekintetében (például formális/informális tagság; a hálózathoz való folyamatos csatlakozási lehetőség révén stb.), illetve a hálózatok által erre vonatkozóan alkalmazott szabályok leírása és elemzése.</w:t>
      </w:r>
    </w:p>
    <w:p w:rsidR="00170A1A" w:rsidRPr="00BB2924" w:rsidRDefault="00170A1A" w:rsidP="005368DC">
      <w:pPr>
        <w:pStyle w:val="Hlistbullet2"/>
        <w:rPr>
          <w:highlight w:val="yellow"/>
        </w:rPr>
      </w:pPr>
      <w:r>
        <w:rPr>
          <w:highlight w:val="yellow"/>
        </w:rPr>
        <w:t>Annak a VFP-nek a szerkezete és tartalma, amelynek keretében a hálózat működni fog: A VFP-n belüli, az NVH tevékenységeivel összefüggő intézkedések és az azokhoz kapcsolódó keretösszegek elemzése</w:t>
      </w:r>
      <w:r>
        <w:rPr>
          <w:rFonts w:ascii="ZWAdobeF" w:hAnsi="ZWAdobeF"/>
          <w:color w:val="auto"/>
          <w:sz w:val="2"/>
          <w:szCs w:val="2"/>
          <w:highlight w:val="yellow"/>
        </w:rPr>
        <w:t>68F</w:t>
      </w:r>
      <w:r w:rsidRPr="00BB2924">
        <w:rPr>
          <w:rStyle w:val="FootnoteReference"/>
          <w:highlight w:val="yellow"/>
        </w:rPr>
        <w:footnoteReference w:id="69"/>
      </w:r>
      <w:r>
        <w:rPr>
          <w:highlight w:val="yellow"/>
        </w:rPr>
        <w:t>, amelyek lehetnek kiegészítő, szinergikus vagy ellentmondó jellegűek. Ez segít felmérni, hogy szükség van-e az NVH tevékenységeire, vagy a célkitűzéseket a VFP intézkedéseivel is el lehet-e érni.</w:t>
      </w:r>
    </w:p>
    <w:p w:rsidR="00170A1A" w:rsidRPr="00BB2924" w:rsidRDefault="00170A1A" w:rsidP="005368DC">
      <w:pPr>
        <w:pStyle w:val="Hlistbullet2"/>
        <w:rPr>
          <w:highlight w:val="yellow"/>
        </w:rPr>
      </w:pPr>
      <w:r>
        <w:rPr>
          <w:highlight w:val="yellow"/>
        </w:rPr>
        <w:t>A HTE elemzése (annak vizsgálata, hogy a HTE az irányító hatóság része, azt minisztériumi ügynökséghez/egyéb közintézményhez delegálták vagy kiszervezték-e), a meglévő rendszer erősségeinek és gyengeségeinek kiemelésével és a tanulságok levonásával.</w:t>
      </w:r>
    </w:p>
    <w:p w:rsidR="00170A1A" w:rsidRPr="00BB2924" w:rsidRDefault="00170A1A" w:rsidP="00C72F66">
      <w:pPr>
        <w:pStyle w:val="Heading6"/>
        <w:rPr>
          <w:highlight w:val="yellow"/>
        </w:rPr>
      </w:pPr>
      <w:r>
        <w:rPr>
          <w:highlight w:val="yellow"/>
        </w:rPr>
        <w:lastRenderedPageBreak/>
        <w:t xml:space="preserve">A közös hálózati célkitűzések és az intézkedéscsoportok áttekintése </w:t>
      </w:r>
    </w:p>
    <w:p w:rsidR="00170A1A" w:rsidRPr="00BB2924" w:rsidRDefault="00170A1A" w:rsidP="00FC0A30">
      <w:pPr>
        <w:pStyle w:val="HStandard"/>
        <w:rPr>
          <w:highlight w:val="yellow"/>
        </w:rPr>
      </w:pPr>
      <w:r>
        <w:rPr>
          <w:highlight w:val="yellow"/>
        </w:rPr>
        <w:t>Az NVH beavatkozási logikájának létrehozására vonatkozó közös elemeket a jogi keret írja le, amely elemek a következők:</w:t>
      </w:r>
    </w:p>
    <w:p w:rsidR="00170A1A" w:rsidRPr="00BB2924" w:rsidRDefault="00170A1A" w:rsidP="00406CAA">
      <w:pPr>
        <w:pStyle w:val="Hlistbullet"/>
        <w:rPr>
          <w:highlight w:val="yellow"/>
        </w:rPr>
      </w:pPr>
      <w:r>
        <w:rPr>
          <w:highlight w:val="yellow"/>
        </w:rPr>
        <w:t>négy közös NVH-célkitűzés</w:t>
      </w:r>
      <w:r>
        <w:rPr>
          <w:rFonts w:ascii="ZWAdobeF" w:hAnsi="ZWAdobeF"/>
          <w:color w:val="auto"/>
          <w:sz w:val="2"/>
          <w:szCs w:val="2"/>
          <w:highlight w:val="yellow"/>
        </w:rPr>
        <w:t>69F</w:t>
      </w:r>
      <w:r w:rsidRPr="00BB2924">
        <w:rPr>
          <w:rStyle w:val="FootnoteReference"/>
          <w:highlight w:val="yellow"/>
        </w:rPr>
        <w:footnoteReference w:id="70"/>
      </w:r>
      <w:r>
        <w:rPr>
          <w:highlight w:val="yellow"/>
        </w:rPr>
        <w:t xml:space="preserve"> és </w:t>
      </w:r>
    </w:p>
    <w:p w:rsidR="00170A1A" w:rsidRPr="00BB2924" w:rsidRDefault="00170A1A" w:rsidP="00406CAA">
      <w:pPr>
        <w:pStyle w:val="Hlistbullet"/>
        <w:rPr>
          <w:highlight w:val="yellow"/>
        </w:rPr>
      </w:pPr>
      <w:r>
        <w:rPr>
          <w:highlight w:val="yellow"/>
        </w:rPr>
        <w:t>hét közös intézkedéscsoport</w:t>
      </w:r>
      <w:r>
        <w:rPr>
          <w:rFonts w:ascii="ZWAdobeF" w:hAnsi="ZWAdobeF"/>
          <w:color w:val="auto"/>
          <w:sz w:val="2"/>
          <w:szCs w:val="2"/>
          <w:highlight w:val="yellow"/>
        </w:rPr>
        <w:t>70F</w:t>
      </w:r>
      <w:r w:rsidRPr="00BB2924">
        <w:rPr>
          <w:rStyle w:val="FootnoteReference"/>
          <w:highlight w:val="yellow"/>
        </w:rPr>
        <w:footnoteReference w:id="71"/>
      </w:r>
      <w:r>
        <w:rPr>
          <w:highlight w:val="yellow"/>
        </w:rPr>
        <w:t>.</w:t>
      </w:r>
    </w:p>
    <w:p w:rsidR="00170A1A" w:rsidRPr="00BB2924" w:rsidRDefault="00170A1A" w:rsidP="00FC0A30">
      <w:pPr>
        <w:pStyle w:val="HStandard"/>
        <w:rPr>
          <w:highlight w:val="yellow"/>
        </w:rPr>
      </w:pPr>
      <w:r>
        <w:rPr>
          <w:highlight w:val="yellow"/>
        </w:rPr>
        <w:t xml:space="preserve">A vidékfejlesztési hálózatok alapítására és működtetésére vonatkozó iránymutatás az alábbi kapcsolatokat javasolja a négy közös NVH-célkitűzés és hét közös intézkedéscsoport között (lásd </w:t>
      </w:r>
      <w:r w:rsidRPr="00BB2924">
        <w:rPr>
          <w:highlight w:val="yellow"/>
        </w:rPr>
        <w:fldChar w:fldCharType="begin" w:fldLock="1"/>
      </w:r>
      <w:r w:rsidRPr="00BB2924">
        <w:rPr>
          <w:highlight w:val="yellow"/>
        </w:rPr>
        <w:instrText xml:space="preserve"> REF _Ref451784531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12</w:t>
      </w:r>
      <w:r w:rsidRPr="00BB2924">
        <w:rPr>
          <w:highlight w:val="yellow"/>
        </w:rPr>
        <w:fldChar w:fldCharType="end"/>
      </w:r>
      <w:r>
        <w:rPr>
          <w:highlight w:val="yellow"/>
        </w:rPr>
        <w:t xml:space="preserve">). A tagállamok érdekelt felei azonban saját kapcsolatokat is kialakíthatnak az NVH konkrét beavatkozási logikájának megfelelően. </w:t>
      </w:r>
    </w:p>
    <w:p w:rsidR="00170A1A" w:rsidRPr="00BB2924" w:rsidRDefault="00170A1A" w:rsidP="00922CBE">
      <w:pPr>
        <w:pStyle w:val="HHeadingfigures"/>
        <w:rPr>
          <w:highlight w:val="yellow"/>
        </w:rPr>
      </w:pPr>
      <w:bookmarkStart w:id="81" w:name="_Toc445465127"/>
      <w:bookmarkStart w:id="82" w:name="_Toc464410815"/>
      <w:r>
        <w:rPr>
          <w:highlight w:val="yellow"/>
        </w:rPr>
        <w:t xml:space="preserve">Lehetséges kapcsolatok az NVH közös célkitűzései és intézkedéscsoportjai </w:t>
      </w:r>
      <w:bookmarkEnd w:id="81"/>
      <w:r>
        <w:rPr>
          <w:highlight w:val="yellow"/>
        </w:rPr>
        <w:t>között</w:t>
      </w:r>
      <w:bookmarkEnd w:id="82"/>
    </w:p>
    <w:p w:rsidR="00170A1A" w:rsidRPr="00BB2924" w:rsidRDefault="00170A1A" w:rsidP="00DB1A74">
      <w:pPr>
        <w:pStyle w:val="HStandard"/>
        <w:jc w:val="center"/>
        <w:rPr>
          <w:highlight w:val="yellow"/>
        </w:rPr>
      </w:pPr>
      <w:r w:rsidRPr="00707729">
        <w:rPr>
          <w:noProof/>
          <w:lang w:val="en-GB" w:eastAsia="en-GB"/>
        </w:rPr>
        <w:drawing>
          <wp:inline distT="0" distB="0" distL="0" distR="0" wp14:anchorId="387A6199" wp14:editId="5C404D02">
            <wp:extent cx="5731510" cy="2395570"/>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395570"/>
                    </a:xfrm>
                    <a:prstGeom prst="rect">
                      <a:avLst/>
                    </a:prstGeom>
                    <a:noFill/>
                    <a:ln>
                      <a:noFill/>
                    </a:ln>
                  </pic:spPr>
                </pic:pic>
              </a:graphicData>
            </a:graphic>
          </wp:inline>
        </w:drawing>
      </w:r>
    </w:p>
    <w:p w:rsidR="00170A1A" w:rsidRPr="00BB2924" w:rsidRDefault="00170A1A" w:rsidP="00FC0A30">
      <w:pPr>
        <w:pStyle w:val="HSource"/>
        <w:rPr>
          <w:highlight w:val="yellow"/>
        </w:rPr>
      </w:pPr>
      <w:r>
        <w:rPr>
          <w:highlight w:val="yellow"/>
        </w:rPr>
        <w:t>Forrás: Európai vidékfejlesztési értékelési támogató szolgálat, 2016</w:t>
      </w:r>
    </w:p>
    <w:p w:rsidR="00170A1A" w:rsidRPr="00BB2924" w:rsidRDefault="00170A1A" w:rsidP="00406CAA">
      <w:pPr>
        <w:pStyle w:val="HStandard"/>
        <w:rPr>
          <w:highlight w:val="yellow"/>
        </w:rPr>
      </w:pPr>
      <w:r>
        <w:rPr>
          <w:highlight w:val="yellow"/>
        </w:rPr>
        <w:t xml:space="preserve">Az NVH fenti közös célkitűzései, intézkedéscsoportjai és a közöttük fennálló kapcsolatok jelentik az NVH beavatkozási logikája kialakításának elsődleges és elegendő sarokköveit. A tagállamok érdekelt feleinek ki kell egészíteniük ezeket a közös elemeket a programspecifikus elemekkel. </w:t>
      </w:r>
    </w:p>
    <w:p w:rsidR="00170A1A" w:rsidRPr="00BB2924" w:rsidRDefault="00170A1A" w:rsidP="00406CAA">
      <w:pPr>
        <w:pStyle w:val="HStandard"/>
        <w:rPr>
          <w:highlight w:val="yellow"/>
        </w:rPr>
      </w:pPr>
      <w:r>
        <w:rPr>
          <w:highlight w:val="yellow"/>
        </w:rPr>
        <w:t xml:space="preserve">A gyakorlat azt mutatja, hogy számos NVH anélkül készítette el cselekvési tervét, hogy meghatározta volna az NVH beavatkozási logikáját. Ez esetben fontos tisztázni, hogy mely (közös vagy programspecifikus) intézkedéscsoportokat foglalták bele az NVH cselekvési tervébe, ezeket összekapcsolni a négy közös célkitűzéssel, megfogalmazni az NVH programspecifikus célkitűzéseit, és meghatározni a várt kimeneteket, eredményeket és hatásokat. </w:t>
      </w:r>
    </w:p>
    <w:p w:rsidR="00170A1A" w:rsidRPr="00BB2924" w:rsidRDefault="00170A1A" w:rsidP="00C72F66">
      <w:pPr>
        <w:pStyle w:val="Heading6"/>
        <w:rPr>
          <w:highlight w:val="yellow"/>
        </w:rPr>
      </w:pPr>
      <w:r>
        <w:rPr>
          <w:highlight w:val="yellow"/>
        </w:rPr>
        <w:t xml:space="preserve">Programspecifikus NVH-célkitűzések meghatározása és megfogalmazása </w:t>
      </w:r>
    </w:p>
    <w:p w:rsidR="00170A1A" w:rsidRPr="00BB2924" w:rsidRDefault="00170A1A" w:rsidP="00FC0A30">
      <w:pPr>
        <w:pStyle w:val="HStandard"/>
        <w:rPr>
          <w:highlight w:val="yellow"/>
        </w:rPr>
      </w:pPr>
      <w:r>
        <w:rPr>
          <w:highlight w:val="yellow"/>
        </w:rPr>
        <w:t xml:space="preserve">Az NVH programspecifikus célkitűzései az átfogó vagy specifikus célkitűzések szintjén határozhatók meg. A programspecifikus NVH-célkitűzések meghatározása során az alábbi lehetőségek állhatnak fenn: </w:t>
      </w:r>
    </w:p>
    <w:p w:rsidR="00170A1A" w:rsidRPr="00BB2924" w:rsidRDefault="00170A1A" w:rsidP="005368DC">
      <w:pPr>
        <w:pStyle w:val="Hlistbullet2"/>
        <w:rPr>
          <w:highlight w:val="yellow"/>
        </w:rPr>
      </w:pPr>
      <w:r>
        <w:rPr>
          <w:highlight w:val="yellow"/>
        </w:rPr>
        <w:t xml:space="preserve">A helyzetelemzés, a GYELV-elemzés és az igényfelmérés során feltárták az NVH beavatkozásai által megcélzandó programspecifikus igényeket, és ezeket a négy közös célkitűzés nem foglalja magába, ilyen lehet például a vidéki területen az irányítás javítása érdekében történő kapacitásnövelés. A feltárt igények alapján átfogó, programspecifikus NVH-célkitűzéseket fogalmaznak meg. </w:t>
      </w:r>
    </w:p>
    <w:p w:rsidR="00170A1A" w:rsidRPr="00BB2924" w:rsidRDefault="00170A1A" w:rsidP="005368DC">
      <w:pPr>
        <w:pStyle w:val="Hlistbullet2"/>
        <w:rPr>
          <w:highlight w:val="yellow"/>
        </w:rPr>
      </w:pPr>
      <w:r>
        <w:rPr>
          <w:highlight w:val="yellow"/>
        </w:rPr>
        <w:lastRenderedPageBreak/>
        <w:t>Az NVH négy közös célkitűzését tovább konkretizálják az NVH konkrét célkitűzéseivel. Az innováció támogatása például úgy valósulhat meg, hogy az érdekeltek innovatív gyakorlatokat adnak át egymásnak.</w:t>
      </w:r>
    </w:p>
    <w:p w:rsidR="00170A1A" w:rsidRPr="00BB2924" w:rsidRDefault="00170A1A" w:rsidP="005368DC">
      <w:pPr>
        <w:pStyle w:val="Hlistbullet2"/>
        <w:rPr>
          <w:highlight w:val="yellow"/>
        </w:rPr>
      </w:pPr>
      <w:r>
        <w:rPr>
          <w:highlight w:val="yellow"/>
        </w:rPr>
        <w:t xml:space="preserve">Az NVH kimenet-eredmény-hatás lánca szintén programspecifikus NVH-célkitűzések meghatározásához vezet. A programspecifikus várt eredményként megfogalmazott várható NVH-eredmények képezik a specifikus NVH-célkitűzések és várt hatások meghatározásának alapját az NVH átfogó célkitűzéseinek kijelöléséhez. </w:t>
      </w:r>
    </w:p>
    <w:p w:rsidR="00170A1A" w:rsidRPr="00BB2924" w:rsidRDefault="00170A1A" w:rsidP="005368DC">
      <w:pPr>
        <w:pStyle w:val="Hlistbullet2"/>
        <w:rPr>
          <w:highlight w:val="yellow"/>
        </w:rPr>
      </w:pPr>
      <w:r>
        <w:rPr>
          <w:highlight w:val="yellow"/>
        </w:rPr>
        <w:t>Az NVH cselekvési tervében az NVH-hoz megtervezett közös és programspecifikus intézkedéscsoportokra épül az NVH működési célkitűzéseinek meghatározása, amelyek az NVH kimeneteihez kapcsolódnak.</w:t>
      </w:r>
    </w:p>
    <w:p w:rsidR="00170A1A" w:rsidRPr="00BB2924" w:rsidRDefault="00170A1A" w:rsidP="00FC0A30">
      <w:pPr>
        <w:pStyle w:val="HStandard"/>
        <w:rPr>
          <w:highlight w:val="yellow"/>
        </w:rPr>
      </w:pPr>
      <w:r>
        <w:rPr>
          <w:highlight w:val="yellow"/>
        </w:rPr>
        <w:t>A programspecifikus NVH-célkitűzéseket SMART-típusú</w:t>
      </w:r>
      <w:r>
        <w:rPr>
          <w:rFonts w:ascii="ZWAdobeF" w:hAnsi="ZWAdobeF"/>
          <w:color w:val="auto"/>
          <w:sz w:val="2"/>
          <w:szCs w:val="2"/>
          <w:highlight w:val="yellow"/>
        </w:rPr>
        <w:t>71F</w:t>
      </w:r>
      <w:r w:rsidRPr="00BB2924">
        <w:rPr>
          <w:rStyle w:val="FootnoteReference"/>
          <w:highlight w:val="yellow"/>
        </w:rPr>
        <w:footnoteReference w:id="72"/>
      </w:r>
      <w:r>
        <w:rPr>
          <w:highlight w:val="yellow"/>
        </w:rPr>
        <w:t xml:space="preserve"> célkitűzésként kell megfogalmazni, ügyelve az átfogó specifikus és működési célok hierarchiájára. </w:t>
      </w:r>
    </w:p>
    <w:p w:rsidR="00170A1A" w:rsidRPr="00BB2924" w:rsidRDefault="00170A1A" w:rsidP="00FC0A30">
      <w:pPr>
        <w:pStyle w:val="HStandard"/>
        <w:rPr>
          <w:highlight w:val="yellow"/>
        </w:rPr>
      </w:pPr>
      <w:r>
        <w:rPr>
          <w:highlight w:val="yellow"/>
        </w:rPr>
        <w:t xml:space="preserve">A programspecifikus NVH-célkitűzések megfogalmazhatók az NVH-knak a vidékfejlesztési politika megvalósításában betöltött szerepe szerint, vagy összekapcsolhatók a vidékfejlesztési hálózatok tágabb szempontjaival a humán- és társadalmi tőke területén (például irányítás, viselkedés megváltoztatása, jártasság és tudás megszerzése stb., lásd még </w:t>
      </w:r>
      <w:r w:rsidRPr="00BB2924">
        <w:rPr>
          <w:highlight w:val="yellow"/>
        </w:rPr>
        <w:fldChar w:fldCharType="begin" w:fldLock="1"/>
      </w:r>
      <w:r w:rsidRPr="00BB2924">
        <w:rPr>
          <w:highlight w:val="yellow"/>
        </w:rPr>
        <w:instrText xml:space="preserve"> REF _Ref451784562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7</w:t>
      </w:r>
      <w:r w:rsidRPr="00BB2924">
        <w:rPr>
          <w:highlight w:val="yellow"/>
        </w:rPr>
        <w:fldChar w:fldCharType="end"/>
      </w:r>
      <w:r>
        <w:rPr>
          <w:highlight w:val="yellow"/>
        </w:rPr>
        <w:t xml:space="preserve"> az 1.4.2. fejezetben).</w:t>
      </w:r>
    </w:p>
    <w:p w:rsidR="00170A1A" w:rsidRPr="00BB2924" w:rsidRDefault="00170A1A" w:rsidP="00FC0A30">
      <w:pPr>
        <w:pStyle w:val="HStandard"/>
        <w:rPr>
          <w:highlight w:val="yellow"/>
        </w:rPr>
      </w:pPr>
      <w:r>
        <w:rPr>
          <w:highlight w:val="yellow"/>
        </w:rPr>
        <w:t>Az NVHP esetén a programspecifikus célkitűzéseket és tevékenységeket a program tervezése során határozzák meg. A VFP-ben szereplő NVH-célkitűzéseket ideális esetben az NVH működésének kezdetekor vagy később, az értékelés előkészítése során szabják meg. Mindazonáltal az értékelés elkészítése során vagy a környezet új igényeket támasztó változása esetén is lehetőség van a meghatározásukra.</w:t>
      </w:r>
    </w:p>
    <w:p w:rsidR="00170A1A" w:rsidRPr="00BB2924" w:rsidRDefault="00170A1A" w:rsidP="00C72F66">
      <w:pPr>
        <w:pStyle w:val="Heading6"/>
        <w:rPr>
          <w:highlight w:val="yellow"/>
        </w:rPr>
      </w:pPr>
      <w:r>
        <w:rPr>
          <w:highlight w:val="yellow"/>
        </w:rPr>
        <w:t xml:space="preserve">Az NVH várt kimeneteinek, eredményeinek és hatásainak meghatározása </w:t>
      </w:r>
    </w:p>
    <w:p w:rsidR="00170A1A" w:rsidRPr="00BB2924" w:rsidRDefault="00170A1A" w:rsidP="00FC0A30">
      <w:pPr>
        <w:pStyle w:val="HStandard"/>
        <w:rPr>
          <w:highlight w:val="yellow"/>
        </w:rPr>
      </w:pPr>
      <w:r>
        <w:rPr>
          <w:highlight w:val="yellow"/>
        </w:rPr>
        <w:t>A közös és programspecifikus tevékenységcsoportok révén az NVH-k várhatóan a következőket érik el:</w:t>
      </w:r>
    </w:p>
    <w:p w:rsidR="00170A1A" w:rsidRPr="00BB2924" w:rsidRDefault="00170A1A" w:rsidP="00406CAA">
      <w:pPr>
        <w:pStyle w:val="Hlistbullet"/>
        <w:rPr>
          <w:highlight w:val="yellow"/>
        </w:rPr>
      </w:pPr>
      <w:r>
        <w:rPr>
          <w:highlight w:val="yellow"/>
        </w:rPr>
        <w:t xml:space="preserve">kimenetek (például képzések száma, elemzési eredmények cseréje, összegyűjtött példák stb.), </w:t>
      </w:r>
    </w:p>
    <w:p w:rsidR="00170A1A" w:rsidRPr="00BB2924" w:rsidRDefault="00170A1A" w:rsidP="00406CAA">
      <w:pPr>
        <w:pStyle w:val="Hlistbullet"/>
        <w:rPr>
          <w:highlight w:val="yellow"/>
        </w:rPr>
      </w:pPr>
      <w:r>
        <w:rPr>
          <w:highlight w:val="yellow"/>
        </w:rPr>
        <w:t xml:space="preserve">eredmények az NVH-tagok és programkedvezményezettek csoportjában (például jobb ismeretek és jártasság a VFP végrehajtása terén, több innovatív projekt, megváltozott döntéshozási viselkedés stb.) és </w:t>
      </w:r>
    </w:p>
    <w:p w:rsidR="00170A1A" w:rsidRPr="00BB2924" w:rsidRDefault="00170A1A" w:rsidP="00406CAA">
      <w:pPr>
        <w:pStyle w:val="Hlistbullet"/>
        <w:rPr>
          <w:highlight w:val="yellow"/>
        </w:rPr>
      </w:pPr>
      <w:r>
        <w:rPr>
          <w:highlight w:val="yellow"/>
        </w:rPr>
        <w:t xml:space="preserve">hatások a programterületen (például jobb programirányítás, erősebb hálózatépítés stb.). </w:t>
      </w:r>
    </w:p>
    <w:p w:rsidR="00170A1A" w:rsidRPr="00BB2924" w:rsidRDefault="00170A1A" w:rsidP="00FC0A30">
      <w:pPr>
        <w:pStyle w:val="HStandard"/>
        <w:rPr>
          <w:highlight w:val="yellow"/>
        </w:rPr>
      </w:pPr>
      <w:r>
        <w:rPr>
          <w:highlight w:val="yellow"/>
        </w:rPr>
        <w:t>Az NVH beavatkozási logikájának kidolgozásakor a várt kimenetek, eredmények és hatások meghatározása történhet:</w:t>
      </w:r>
    </w:p>
    <w:p w:rsidR="00170A1A" w:rsidRPr="00BB2924" w:rsidRDefault="00170A1A" w:rsidP="00406CAA">
      <w:pPr>
        <w:pStyle w:val="Hlistbullet"/>
        <w:rPr>
          <w:highlight w:val="yellow"/>
        </w:rPr>
      </w:pPr>
      <w:r>
        <w:rPr>
          <w:highlight w:val="yellow"/>
        </w:rPr>
        <w:t>vízszintes konzisztenciában a közös és programspecifikus NVH-célkitűzésekkel. Például a várt hatásoknak az NVH átfogó célkitűzéseinek teljesüléséhez kell vezetniük. A várt eredményeknek összhangban kell lenniük az NVH specifikus célkitűzéseivel, a várt kimeneteket pedig a működési célkitűzések elérése érdekében hozzák létre,</w:t>
      </w:r>
    </w:p>
    <w:p w:rsidR="00170A1A" w:rsidRPr="00BB2924" w:rsidRDefault="00170A1A" w:rsidP="00406CAA">
      <w:pPr>
        <w:pStyle w:val="Hlistbullet"/>
        <w:rPr>
          <w:highlight w:val="yellow"/>
        </w:rPr>
      </w:pPr>
      <w:r>
        <w:rPr>
          <w:highlight w:val="yellow"/>
        </w:rPr>
        <w:t>függőleges konzisztenciában, amely az intézkedéscsoportoktól indul és végighalad az NVH kimenet-eredmény-hatás láncán. Például a tanácsadóknak nyújtott képzések (kimenetek) segítenek javítani a mezőgazdasági termelők között átadott innovatív gyakorlatokat (eredmények) és támogatják az innovációt a benyújtott VFP-projektekben (hatások).</w:t>
      </w:r>
    </w:p>
    <w:p w:rsidR="00170A1A" w:rsidRPr="00BB2924" w:rsidRDefault="00170A1A" w:rsidP="00C72F66">
      <w:pPr>
        <w:pStyle w:val="Heading6"/>
        <w:rPr>
          <w:highlight w:val="yellow"/>
        </w:rPr>
      </w:pPr>
      <w:r>
        <w:rPr>
          <w:highlight w:val="yellow"/>
        </w:rPr>
        <w:t>Az NVH beavatkozási logikájának kialakítása, függőleges és vízszintes konzisztenciájának ellenőrzése</w:t>
      </w:r>
    </w:p>
    <w:p w:rsidR="00170A1A" w:rsidRPr="00BB2924" w:rsidRDefault="00170A1A" w:rsidP="00FC0A30">
      <w:pPr>
        <w:pStyle w:val="HStandard"/>
        <w:rPr>
          <w:highlight w:val="yellow"/>
        </w:rPr>
      </w:pPr>
      <w:r>
        <w:rPr>
          <w:highlight w:val="yellow"/>
        </w:rPr>
        <w:lastRenderedPageBreak/>
        <w:t xml:space="preserve">A fentiekben leírtaknak megfelelően a közös célkitűzéseket (amelyek magukban foglalják a várt hatásokat is), tevékenységeket és kimeneteket ki kell egészíteni az NVH programspecifikus célkitűzéseivel és tevékenységeivel, a várt kimeneteivel, eredményeivel és hatásaival. </w:t>
      </w:r>
    </w:p>
    <w:p w:rsidR="00170A1A" w:rsidRPr="00BB2924" w:rsidRDefault="00170A1A" w:rsidP="00FC0A30">
      <w:pPr>
        <w:pStyle w:val="HStandard"/>
        <w:rPr>
          <w:highlight w:val="yellow"/>
        </w:rPr>
      </w:pPr>
      <w:r>
        <w:rPr>
          <w:highlight w:val="yellow"/>
        </w:rPr>
        <w:t xml:space="preserve">Az alábbi ábra segítséget nyújthat az NVH beavatkozási logikájának kidolgozásában. Az ábrán bal oldalon láthatók a közös célkitűzések, középen a közös tevékenységek, jobb oldalon pedig a várt közös kimenetek és hatások. Az ábrán jól látható, hogy a négy közös célkitűzés nem elegendő az NVH-k minden lehetséges beavatkozásának kifejezéséhez, a közös kimenetek nem fedik le az összes közös tevékenységet, a közös eredményeket és hatásokat pedig nem határozták meg. Ezért az ábrán mindig van szabad hely az NVH programspecifikus célkitűzéseinek, tevékenységeinek, kimeneteinek, eredményeinek és hatásainak. A tagállam érdekelt felei igény szerint határozhatják meg az NVH beavatkozási logikájának hiányzó elemeit és kapcsolhatják össze azokat </w:t>
      </w:r>
      <w:r>
        <w:rPr>
          <w:b/>
          <w:highlight w:val="yellow"/>
        </w:rPr>
        <w:t>függőleges</w:t>
      </w:r>
      <w:r>
        <w:rPr>
          <w:highlight w:val="yellow"/>
        </w:rPr>
        <w:t xml:space="preserve"> (célkitűzések közötti, valamint kimenetek, eredmények és hatások közötti) és </w:t>
      </w:r>
      <w:r>
        <w:rPr>
          <w:b/>
          <w:highlight w:val="yellow"/>
        </w:rPr>
        <w:t>vízszintes</w:t>
      </w:r>
      <w:r>
        <w:rPr>
          <w:highlight w:val="yellow"/>
        </w:rPr>
        <w:t xml:space="preserve"> (a beavatkozási logika hierarchiájának egyes szintjein helyet foglaló célkitűzések és hatások közötti) konzisztenciában.</w:t>
      </w:r>
    </w:p>
    <w:p w:rsidR="00170A1A" w:rsidRPr="00BB2924" w:rsidRDefault="00170A1A">
      <w:pPr>
        <w:spacing w:after="0" w:line="240" w:lineRule="auto"/>
        <w:rPr>
          <w:rFonts w:cs="Arial"/>
          <w:b/>
          <w:color w:val="576C88" w:themeColor="text2" w:themeTint="D9"/>
          <w:sz w:val="16"/>
          <w:szCs w:val="20"/>
          <w:highlight w:val="yellow"/>
        </w:rPr>
      </w:pPr>
      <w:bookmarkStart w:id="83" w:name="_Toc445465128"/>
      <w:bookmarkStart w:id="84" w:name="_Ref435791996"/>
      <w:r>
        <w:br w:type="page"/>
      </w:r>
    </w:p>
    <w:p w:rsidR="00170A1A" w:rsidRPr="00BB2924" w:rsidRDefault="00170A1A" w:rsidP="00922CBE">
      <w:pPr>
        <w:pStyle w:val="HHeadingfigures"/>
        <w:rPr>
          <w:highlight w:val="yellow"/>
        </w:rPr>
      </w:pPr>
      <w:bookmarkStart w:id="85" w:name="_Ref451784531"/>
      <w:bookmarkStart w:id="86" w:name="_Ref451784607"/>
      <w:bookmarkStart w:id="87" w:name="_Toc464410816"/>
      <w:r>
        <w:rPr>
          <w:highlight w:val="yellow"/>
        </w:rPr>
        <w:lastRenderedPageBreak/>
        <w:t>Az NVH közös és programspecifikus célkitűzéseinek, intézkedéscsoportjainak, valamint várt kimeneteinek, eredményeinek és hatásainak összekapcsolása</w:t>
      </w:r>
      <w:bookmarkEnd w:id="83"/>
      <w:bookmarkEnd w:id="85"/>
      <w:bookmarkEnd w:id="86"/>
      <w:bookmarkEnd w:id="87"/>
    </w:p>
    <w:bookmarkEnd w:id="84"/>
    <w:p w:rsidR="00170A1A" w:rsidRPr="00BB2924" w:rsidRDefault="00170A1A" w:rsidP="00FC0A30">
      <w:pPr>
        <w:pStyle w:val="HStandard"/>
        <w:rPr>
          <w:highlight w:val="yellow"/>
        </w:rPr>
      </w:pPr>
      <w:r w:rsidRPr="009E33FA">
        <w:rPr>
          <w:noProof/>
          <w:highlight w:val="yellow"/>
          <w:lang w:val="en-GB" w:eastAsia="en-GB"/>
        </w:rPr>
        <w:drawing>
          <wp:inline distT="0" distB="0" distL="0" distR="0" wp14:anchorId="38DBA906" wp14:editId="159F077F">
            <wp:extent cx="5731510" cy="3354871"/>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354871"/>
                    </a:xfrm>
                    <a:prstGeom prst="rect">
                      <a:avLst/>
                    </a:prstGeom>
                    <a:noFill/>
                    <a:ln>
                      <a:noFill/>
                    </a:ln>
                  </pic:spPr>
                </pic:pic>
              </a:graphicData>
            </a:graphic>
          </wp:inline>
        </w:drawing>
      </w:r>
    </w:p>
    <w:p w:rsidR="00170A1A" w:rsidRPr="00BB2924" w:rsidRDefault="00170A1A" w:rsidP="00FC0A30">
      <w:pPr>
        <w:pStyle w:val="HSource"/>
        <w:rPr>
          <w:highlight w:val="yellow"/>
        </w:rPr>
      </w:pPr>
      <w:r>
        <w:rPr>
          <w:highlight w:val="yellow"/>
        </w:rPr>
        <w:t>Forrás: Európai vidékfejlesztési értékelési támogató szolgálat, 2016</w:t>
      </w:r>
    </w:p>
    <w:p w:rsidR="00170A1A" w:rsidRPr="00BB2924" w:rsidRDefault="00170A1A" w:rsidP="00FC0A30">
      <w:pPr>
        <w:pStyle w:val="HStandard"/>
        <w:rPr>
          <w:highlight w:val="yellow"/>
        </w:rPr>
      </w:pPr>
      <w:r>
        <w:rPr>
          <w:highlight w:val="yellow"/>
        </w:rPr>
        <w:t xml:space="preserve">A beavatkozási logika kidolgozásának másik hasznos eszköze olyan táblázat (lásd </w:t>
      </w:r>
      <w:r w:rsidRPr="00BB2924">
        <w:rPr>
          <w:highlight w:val="yellow"/>
        </w:rPr>
        <w:fldChar w:fldCharType="begin" w:fldLock="1"/>
      </w:r>
      <w:r w:rsidRPr="00BB2924">
        <w:rPr>
          <w:highlight w:val="yellow"/>
        </w:rPr>
        <w:instrText xml:space="preserve"> REF _Ref451784947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5</w:t>
      </w:r>
      <w:r w:rsidRPr="00BB2924">
        <w:rPr>
          <w:highlight w:val="yellow"/>
        </w:rPr>
        <w:fldChar w:fldCharType="end"/>
      </w:r>
      <w:r>
        <w:rPr>
          <w:highlight w:val="yellow"/>
        </w:rPr>
        <w:t>), amely lehetővé teszi a célok és várt hatások hierarchiájának függőleges és vízszintes konzisztenciában történő kialakítását. Ez segít a logika tökéletesítésében és a célmeghatározás hiányosságainak felderítésében. A bemutatott példában az NVH átfogó és specifikus célkitűzései a közös és programspecifikus célkitűzésekből kiindulva épülnek fel. Az elemek összetétele a szóban forgó terület összefüggéseitől és igényeitől függ.</w:t>
      </w:r>
    </w:p>
    <w:p w:rsidR="00170A1A" w:rsidRPr="00BB2924" w:rsidRDefault="00170A1A" w:rsidP="001249DA">
      <w:pPr>
        <w:pStyle w:val="HHeadingtables"/>
        <w:rPr>
          <w:highlight w:val="yellow"/>
        </w:rPr>
      </w:pPr>
      <w:bookmarkStart w:id="88" w:name="_Toc436383147"/>
      <w:bookmarkStart w:id="89" w:name="_Ref451784947"/>
      <w:bookmarkStart w:id="90" w:name="_Toc464410799"/>
      <w:r>
        <w:rPr>
          <w:highlight w:val="yellow"/>
        </w:rPr>
        <w:t>Az NVH-célkitűzések hierarchiája</w:t>
      </w:r>
      <w:bookmarkEnd w:id="88"/>
      <w:r>
        <w:rPr>
          <w:highlight w:val="yellow"/>
        </w:rPr>
        <w:t xml:space="preserve"> és várt hatásai</w:t>
      </w:r>
      <w:bookmarkEnd w:id="89"/>
      <w:bookmarkEnd w:id="90"/>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170A1A" w:rsidRPr="00BB2924" w:rsidTr="00D322AA">
        <w:tc>
          <w:tcPr>
            <w:tcW w:w="6516" w:type="dxa"/>
            <w:shd w:val="clear" w:color="auto" w:fill="F5F4F4" w:themeFill="background2" w:themeFillTint="66"/>
          </w:tcPr>
          <w:p w:rsidR="00170A1A" w:rsidRPr="00BB2924" w:rsidRDefault="00170A1A" w:rsidP="00FC0A30">
            <w:pPr>
              <w:pStyle w:val="Htableleft"/>
              <w:spacing w:before="20" w:after="20"/>
              <w:rPr>
                <w:b/>
                <w:color w:val="576C88" w:themeColor="text2" w:themeTint="D9"/>
                <w:highlight w:val="yellow"/>
              </w:rPr>
            </w:pPr>
            <w:r>
              <w:rPr>
                <w:b/>
                <w:color w:val="576C88" w:themeColor="text2" w:themeTint="D9"/>
                <w:highlight w:val="yellow"/>
              </w:rPr>
              <w:t>Az NVH átfogó célkitűzései</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az 1305/2015/EU rendelet 54. cikke alapján</w:t>
            </w:r>
          </w:p>
          <w:p w:rsidR="00170A1A" w:rsidRPr="00BB2924" w:rsidRDefault="00170A1A" w:rsidP="00170A1A">
            <w:pPr>
              <w:pStyle w:val="Htablebullet"/>
              <w:spacing w:before="20" w:after="20"/>
              <w:rPr>
                <w:color w:val="576C88" w:themeColor="text2" w:themeTint="D9"/>
                <w:highlight w:val="yellow"/>
              </w:rPr>
            </w:pPr>
            <w:r>
              <w:rPr>
                <w:color w:val="576C88" w:themeColor="text2" w:themeTint="D9"/>
                <w:highlight w:val="yellow"/>
              </w:rPr>
              <w:t>az érdekelt felek fokozottabb bevonása a vidékfejlesztés végrehajtásába;</w:t>
            </w:r>
          </w:p>
          <w:p w:rsidR="00170A1A" w:rsidRPr="00BB2924" w:rsidRDefault="00170A1A" w:rsidP="00170A1A">
            <w:pPr>
              <w:pStyle w:val="Htablebullet"/>
              <w:spacing w:before="20" w:after="20"/>
              <w:rPr>
                <w:color w:val="576C88" w:themeColor="text2" w:themeTint="D9"/>
                <w:highlight w:val="yellow"/>
              </w:rPr>
            </w:pPr>
            <w:r>
              <w:rPr>
                <w:color w:val="576C88" w:themeColor="text2" w:themeTint="D9"/>
                <w:highlight w:val="yellow"/>
              </w:rPr>
              <w:t>a vidékfejlesztési programok végrehajtása minőségének javítása;</w:t>
            </w:r>
          </w:p>
          <w:p w:rsidR="00170A1A" w:rsidRPr="00BB2924" w:rsidRDefault="00170A1A" w:rsidP="00170A1A">
            <w:pPr>
              <w:pStyle w:val="Htablebullet"/>
              <w:spacing w:before="20" w:after="20"/>
              <w:rPr>
                <w:color w:val="576C88" w:themeColor="text2" w:themeTint="D9"/>
                <w:highlight w:val="yellow"/>
              </w:rPr>
            </w:pPr>
            <w:r>
              <w:rPr>
                <w:color w:val="576C88" w:themeColor="text2" w:themeTint="D9"/>
                <w:highlight w:val="yellow"/>
              </w:rPr>
              <w:t>a szélesebb közvéleménynek és a potenciális kedvezményezetteknek a vidékfejlesztési politikáról és a finanszírozási lehetőségekről való tájékoztatása;</w:t>
            </w:r>
          </w:p>
          <w:p w:rsidR="00170A1A" w:rsidRPr="00BB2924" w:rsidRDefault="00170A1A" w:rsidP="00170A1A">
            <w:pPr>
              <w:pStyle w:val="Htablebullet"/>
              <w:spacing w:before="20" w:after="20"/>
              <w:rPr>
                <w:color w:val="576C88" w:themeColor="text2" w:themeTint="D9"/>
                <w:highlight w:val="yellow"/>
              </w:rPr>
            </w:pPr>
            <w:r>
              <w:rPr>
                <w:color w:val="576C88" w:themeColor="text2" w:themeTint="D9"/>
                <w:highlight w:val="yellow"/>
              </w:rPr>
              <w:t>az innováció előmozdítása a mezőgazdaságban, az élelmiszer-termelésben, az erdőgazdálkodásban és a vidéki térségekben.</w:t>
            </w:r>
          </w:p>
          <w:p w:rsidR="00170A1A" w:rsidRPr="00707CD8" w:rsidRDefault="00170A1A" w:rsidP="00FC0A30">
            <w:pPr>
              <w:pStyle w:val="Htableleft"/>
              <w:spacing w:before="20" w:after="20"/>
              <w:rPr>
                <w:color w:val="576C88" w:themeColor="text2" w:themeTint="D9"/>
                <w:highlight w:val="yellow"/>
              </w:rPr>
            </w:pPr>
          </w:p>
          <w:p w:rsidR="00170A1A" w:rsidRPr="00BB2924" w:rsidRDefault="00170A1A" w:rsidP="00CD2BC2">
            <w:pPr>
              <w:pStyle w:val="Htableleft"/>
              <w:spacing w:before="20" w:after="20"/>
              <w:rPr>
                <w:color w:val="576C88" w:themeColor="text2" w:themeTint="D9"/>
                <w:highlight w:val="yellow"/>
              </w:rPr>
            </w:pPr>
            <w:r>
              <w:rPr>
                <w:color w:val="576C88" w:themeColor="text2" w:themeTint="D9"/>
                <w:highlight w:val="yellow"/>
              </w:rPr>
              <w:t>ide tartozhatnak az NVH átfogó programspecifikus célkitűzései is, amelyek kifejezik az NVH tevékenységei által a VFP területi szintjén előidézett változásokat (például általános hálózatépítés a vidéki területeken, társadalmi tőke építése)</w:t>
            </w:r>
          </w:p>
        </w:tc>
        <w:tc>
          <w:tcPr>
            <w:tcW w:w="2500" w:type="dxa"/>
            <w:shd w:val="clear" w:color="auto" w:fill="F5F4F4" w:themeFill="background2" w:themeFillTint="66"/>
          </w:tcPr>
          <w:p w:rsidR="00170A1A" w:rsidRPr="00BB2924" w:rsidRDefault="00170A1A" w:rsidP="00FC0A30">
            <w:pPr>
              <w:pStyle w:val="Htableleft"/>
              <w:spacing w:before="20" w:after="20"/>
              <w:rPr>
                <w:b/>
                <w:color w:val="576C88" w:themeColor="text2" w:themeTint="D9"/>
                <w:highlight w:val="yellow"/>
              </w:rPr>
            </w:pPr>
            <w:r>
              <w:rPr>
                <w:b/>
                <w:color w:val="576C88" w:themeColor="text2" w:themeTint="D9"/>
                <w:highlight w:val="yellow"/>
              </w:rPr>
              <w:t>A várható hatások</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 xml:space="preserve">az NVH-val összefüggő (közös és programspecifikus) átfogó célkitűzésekhez kapcsolódnak </w:t>
            </w:r>
          </w:p>
          <w:p w:rsidR="00170A1A" w:rsidRPr="00707CD8" w:rsidRDefault="00170A1A" w:rsidP="00FC0A30">
            <w:pPr>
              <w:pStyle w:val="Htableleft"/>
              <w:spacing w:before="20" w:after="20"/>
              <w:rPr>
                <w:color w:val="576C88" w:themeColor="text2" w:themeTint="D9"/>
                <w:highlight w:val="yellow"/>
              </w:rPr>
            </w:pPr>
          </w:p>
        </w:tc>
      </w:tr>
      <w:tr w:rsidR="00170A1A" w:rsidRPr="00BB2924" w:rsidTr="00D322AA">
        <w:tc>
          <w:tcPr>
            <w:tcW w:w="6516" w:type="dxa"/>
            <w:shd w:val="clear" w:color="auto" w:fill="F5F4F4" w:themeFill="background2" w:themeFillTint="66"/>
          </w:tcPr>
          <w:p w:rsidR="00170A1A" w:rsidRPr="00BB2924" w:rsidRDefault="00170A1A" w:rsidP="00FC0A30">
            <w:pPr>
              <w:pStyle w:val="Htableleft"/>
              <w:spacing w:before="20" w:after="20"/>
              <w:rPr>
                <w:b/>
                <w:color w:val="576C88" w:themeColor="text2" w:themeTint="D9"/>
                <w:highlight w:val="yellow"/>
              </w:rPr>
            </w:pPr>
            <w:r>
              <w:rPr>
                <w:b/>
                <w:color w:val="576C88" w:themeColor="text2" w:themeTint="D9"/>
                <w:highlight w:val="yellow"/>
              </w:rPr>
              <w:t>Az NVH specifikus célkitűzései</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ide tartozhatnak az NVH programspecifikus célkitűzései, amelyek kifejezik az NVH kedvezményezettjeinek csoportjában előidézett változásokat (például a kedvezményezettek közötti hálózatépítés erősödése)</w:t>
            </w:r>
          </w:p>
          <w:p w:rsidR="00170A1A" w:rsidRPr="00707CD8" w:rsidRDefault="00170A1A" w:rsidP="00FC0A30">
            <w:pPr>
              <w:pStyle w:val="Htableleft"/>
              <w:spacing w:before="20" w:after="20"/>
              <w:rPr>
                <w:color w:val="576C88" w:themeColor="text2" w:themeTint="D9"/>
                <w:highlight w:val="yellow"/>
              </w:rPr>
            </w:pP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ide tartozhatnak továbbá az 1305/2015/EU rendelet 54. cikkében felvázolt, részletesebb bontású célkitűzések</w:t>
            </w:r>
          </w:p>
        </w:tc>
        <w:tc>
          <w:tcPr>
            <w:tcW w:w="2500" w:type="dxa"/>
            <w:shd w:val="clear" w:color="auto" w:fill="F5F4F4" w:themeFill="background2" w:themeFillTint="66"/>
          </w:tcPr>
          <w:p w:rsidR="00170A1A" w:rsidRPr="00BB2924" w:rsidRDefault="00170A1A" w:rsidP="00FC0A30">
            <w:pPr>
              <w:pStyle w:val="Htableleft"/>
              <w:spacing w:before="20" w:after="20"/>
              <w:rPr>
                <w:b/>
                <w:color w:val="576C88" w:themeColor="text2" w:themeTint="D9"/>
                <w:highlight w:val="yellow"/>
              </w:rPr>
            </w:pPr>
            <w:r>
              <w:rPr>
                <w:b/>
                <w:color w:val="576C88" w:themeColor="text2" w:themeTint="D9"/>
                <w:highlight w:val="yellow"/>
              </w:rPr>
              <w:t xml:space="preserve">Várt eredmények </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 xml:space="preserve">az NVH-val összefüggő (közös és programspecifikus) konkrét célkitűzésekhez kapcsolódnak </w:t>
            </w:r>
          </w:p>
          <w:p w:rsidR="00170A1A" w:rsidRPr="00707CD8" w:rsidRDefault="00170A1A" w:rsidP="00FC0A30">
            <w:pPr>
              <w:pStyle w:val="Htableleft"/>
              <w:spacing w:before="20" w:after="20"/>
              <w:rPr>
                <w:color w:val="576C88" w:themeColor="text2" w:themeTint="D9"/>
                <w:highlight w:val="yellow"/>
              </w:rPr>
            </w:pPr>
          </w:p>
        </w:tc>
      </w:tr>
      <w:tr w:rsidR="00170A1A" w:rsidRPr="00BB2924" w:rsidTr="00D322AA">
        <w:tc>
          <w:tcPr>
            <w:tcW w:w="6516" w:type="dxa"/>
            <w:shd w:val="clear" w:color="auto" w:fill="F5F4F4" w:themeFill="background2" w:themeFillTint="66"/>
          </w:tcPr>
          <w:p w:rsidR="00170A1A" w:rsidRPr="00BB2924" w:rsidRDefault="00170A1A" w:rsidP="00FC0A30">
            <w:pPr>
              <w:pStyle w:val="Htableleft"/>
              <w:spacing w:before="20" w:after="20"/>
              <w:rPr>
                <w:b/>
                <w:color w:val="576C88" w:themeColor="text2" w:themeTint="D9"/>
                <w:highlight w:val="yellow"/>
              </w:rPr>
            </w:pPr>
            <w:r>
              <w:rPr>
                <w:b/>
                <w:color w:val="576C88" w:themeColor="text2" w:themeTint="D9"/>
                <w:highlight w:val="yellow"/>
              </w:rPr>
              <w:lastRenderedPageBreak/>
              <w:t>Operatív célkitűzések</w:t>
            </w:r>
          </w:p>
          <w:p w:rsidR="00170A1A" w:rsidRPr="00BB2924" w:rsidRDefault="00170A1A" w:rsidP="00C72F66">
            <w:pPr>
              <w:pStyle w:val="Htableleft"/>
              <w:spacing w:before="20" w:after="20"/>
              <w:rPr>
                <w:color w:val="576C88" w:themeColor="text2" w:themeTint="D9"/>
                <w:highlight w:val="yellow"/>
              </w:rPr>
            </w:pPr>
            <w:r>
              <w:rPr>
                <w:color w:val="576C88" w:themeColor="text2" w:themeTint="D9"/>
                <w:highlight w:val="yellow"/>
              </w:rPr>
              <w:t>a cselekvési tervben felvázolt tevékenységekhez kapcsolódnak</w:t>
            </w:r>
          </w:p>
        </w:tc>
        <w:tc>
          <w:tcPr>
            <w:tcW w:w="2500" w:type="dxa"/>
            <w:shd w:val="clear" w:color="auto" w:fill="F5F4F4" w:themeFill="background2" w:themeFillTint="66"/>
          </w:tcPr>
          <w:p w:rsidR="00170A1A" w:rsidRPr="00BB2924" w:rsidRDefault="00170A1A" w:rsidP="00FC0A30">
            <w:pPr>
              <w:pStyle w:val="Htableleft"/>
              <w:spacing w:before="20" w:after="20"/>
              <w:rPr>
                <w:b/>
                <w:color w:val="576C88" w:themeColor="text2" w:themeTint="D9"/>
                <w:highlight w:val="yellow"/>
              </w:rPr>
            </w:pPr>
            <w:r>
              <w:rPr>
                <w:b/>
                <w:color w:val="576C88" w:themeColor="text2" w:themeTint="D9"/>
                <w:highlight w:val="yellow"/>
              </w:rPr>
              <w:t>Várható kimenetek</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 xml:space="preserve">A 808/2014/EU bizottsági végrehajtási rendelet IV. mellékletében meghatározottak szerint közösek. </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A tematikus információk és elemzési eredmények felek közötti, az NVH támogatásával létrejött cseréinek száma (O24)</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Az NVH kommunikációs eszközeinek száma (O25)</w:t>
            </w: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 xml:space="preserve">Az NVH bevonásával végzett EVH-tevékenységek száma (O26) </w:t>
            </w:r>
          </w:p>
          <w:p w:rsidR="00170A1A" w:rsidRPr="00707CD8" w:rsidRDefault="00170A1A" w:rsidP="00FC0A30">
            <w:pPr>
              <w:pStyle w:val="Htableleft"/>
              <w:spacing w:before="20" w:after="20"/>
              <w:rPr>
                <w:color w:val="576C88" w:themeColor="text2" w:themeTint="D9"/>
                <w:highlight w:val="yellow"/>
              </w:rPr>
            </w:pPr>
          </w:p>
          <w:p w:rsidR="00170A1A" w:rsidRPr="00BB2924" w:rsidRDefault="00170A1A" w:rsidP="00FC0A30">
            <w:pPr>
              <w:pStyle w:val="Htableleft"/>
              <w:spacing w:before="20" w:after="20"/>
              <w:rPr>
                <w:color w:val="576C88" w:themeColor="text2" w:themeTint="D9"/>
                <w:highlight w:val="yellow"/>
              </w:rPr>
            </w:pPr>
            <w:r>
              <w:rPr>
                <w:color w:val="576C88" w:themeColor="text2" w:themeTint="D9"/>
                <w:highlight w:val="yellow"/>
              </w:rPr>
              <w:t xml:space="preserve">Programspecifikusak, az NVH programspecifikus tevékenységeihez kapcsolódnak </w:t>
            </w:r>
          </w:p>
        </w:tc>
      </w:tr>
    </w:tbl>
    <w:p w:rsidR="00170A1A" w:rsidRPr="00BB2924" w:rsidRDefault="00170A1A" w:rsidP="00FC0A30">
      <w:pPr>
        <w:pStyle w:val="HStandard"/>
        <w:rPr>
          <w:highlight w:val="yellow"/>
        </w:rPr>
      </w:pPr>
      <w:r>
        <w:rPr>
          <w:highlight w:val="yellow"/>
        </w:rPr>
        <w:t xml:space="preserve">Az NVH beavatkozási logikájának létrehozása után fontos ellenőrizni annak belső (függőleges és vízszintes) konzisztenciáját. </w:t>
      </w:r>
    </w:p>
    <w:p w:rsidR="00170A1A" w:rsidRPr="00BB2924" w:rsidRDefault="00170A1A" w:rsidP="00FC0A30">
      <w:pPr>
        <w:pStyle w:val="HStandard"/>
        <w:rPr>
          <w:highlight w:val="yellow"/>
        </w:rPr>
      </w:pPr>
      <w:r>
        <w:rPr>
          <w:highlight w:val="yellow"/>
        </w:rPr>
        <w:t xml:space="preserve">A </w:t>
      </w:r>
      <w:r>
        <w:rPr>
          <w:b/>
          <w:highlight w:val="yellow"/>
        </w:rPr>
        <w:t>vízszintes konzisztencia</w:t>
      </w:r>
      <w:r>
        <w:rPr>
          <w:highlight w:val="yellow"/>
        </w:rPr>
        <w:t xml:space="preserve"> </w:t>
      </w:r>
      <w:r>
        <w:rPr>
          <w:b/>
          <w:highlight w:val="yellow"/>
        </w:rPr>
        <w:t>ellenőrzésekor</w:t>
      </w:r>
      <w:r>
        <w:rPr>
          <w:highlight w:val="yellow"/>
        </w:rPr>
        <w:t xml:space="preserve"> azt elemzik, hogy az egyes szintek (kimenet, eredmények, hatások) várt kihatásai megfelelnek-e a kapcsolódó szinteken (operatív, konkrét, átfogó) meghatározott célkitűzéseknek, és vannak-e ellentmondások vagy téves megfeleltetések a célkitűzések és az egyes szinteken meghatározott várt kihatások között. NHVP-k esetében az egymásnak ellentmondó célkitűzések kockázata meglehetősen alacsony. A VFP-n belüli NVH-kat illetően a célkitűzéseknek összhangban kell lenniük a VFP egészére meghatározottakkal. Itt-ott előfordulhatnak ellentmondások, és az értékelők leggyakrabban más intézkedésekkel kapcsolatban fennálló ismétlődések vagy hiányosságok formájában találkoznak következetlenséggel, különösen az 1. számú prioritás esetében.</w:t>
      </w:r>
    </w:p>
    <w:p w:rsidR="00170A1A" w:rsidRPr="00BB2924" w:rsidRDefault="00170A1A" w:rsidP="00FC0A30">
      <w:pPr>
        <w:pStyle w:val="HStandard"/>
        <w:rPr>
          <w:highlight w:val="yellow"/>
        </w:rPr>
      </w:pPr>
      <w:r>
        <w:rPr>
          <w:highlight w:val="yellow"/>
        </w:rPr>
        <w:t xml:space="preserve">A </w:t>
      </w:r>
      <w:r>
        <w:rPr>
          <w:b/>
          <w:highlight w:val="yellow"/>
        </w:rPr>
        <w:t>függőleges konzisztencia</w:t>
      </w:r>
      <w:r>
        <w:rPr>
          <w:highlight w:val="yellow"/>
        </w:rPr>
        <w:t xml:space="preserve"> </w:t>
      </w:r>
      <w:r>
        <w:rPr>
          <w:b/>
          <w:highlight w:val="yellow"/>
        </w:rPr>
        <w:t>ellenőrzésekor</w:t>
      </w:r>
      <w:r>
        <w:rPr>
          <w:highlight w:val="yellow"/>
        </w:rPr>
        <w:t xml:space="preserve"> az NVH célkitűzéseinek/várt kihatásainak hierarchiáját elemzik, amelynek során </w:t>
      </w:r>
    </w:p>
    <w:p w:rsidR="00170A1A" w:rsidRPr="00BB2924" w:rsidRDefault="00170A1A" w:rsidP="00C72F66">
      <w:pPr>
        <w:pStyle w:val="Hlistbullet"/>
        <w:rPr>
          <w:highlight w:val="yellow"/>
        </w:rPr>
      </w:pPr>
      <w:r>
        <w:rPr>
          <w:highlight w:val="yellow"/>
        </w:rPr>
        <w:t>először arra a kérdésre keresik a választ, hogy valósak-e az adott logikai keret szempontjából irányadó felvetések (például „miért vagy milyen feltevés alapján vezetne az érdekeltek képzése a gyakorlataik megváltozásához?”);</w:t>
      </w:r>
    </w:p>
    <w:p w:rsidR="00170A1A" w:rsidRPr="00BB2924" w:rsidRDefault="00170A1A" w:rsidP="000610EA">
      <w:pPr>
        <w:pStyle w:val="Hlistbullet"/>
        <w:rPr>
          <w:b/>
          <w:highlight w:val="yellow"/>
        </w:rPr>
      </w:pPr>
      <w:r>
        <w:rPr>
          <w:highlight w:val="yellow"/>
        </w:rPr>
        <w:t xml:space="preserve">másodszor pedig azt vizsgálják, hogy az egyes intézkedéscsoportokhoz kiválasztott tevékenységek és a hozzárendelt költségvetés alkalmasak-e a várt hatások kiváltására. </w:t>
      </w:r>
    </w:p>
    <w:p w:rsidR="00170A1A" w:rsidRPr="00BB2924" w:rsidRDefault="00170A1A" w:rsidP="00C72F66">
      <w:pPr>
        <w:pStyle w:val="Heading6"/>
        <w:rPr>
          <w:highlight w:val="yellow"/>
        </w:rPr>
      </w:pPr>
      <w:r>
        <w:rPr>
          <w:highlight w:val="yellow"/>
        </w:rPr>
        <w:t>Az NVH és NVHP beavatkozási logikájának felépítésével kapcsolatos sajátosságok</w:t>
      </w:r>
    </w:p>
    <w:p w:rsidR="00170A1A" w:rsidRPr="00BB2924" w:rsidRDefault="00170A1A" w:rsidP="00FC0A30">
      <w:pPr>
        <w:pStyle w:val="HStandard"/>
        <w:rPr>
          <w:highlight w:val="yellow"/>
        </w:rPr>
      </w:pPr>
      <w:r>
        <w:rPr>
          <w:highlight w:val="yellow"/>
        </w:rPr>
        <w:t>Néhány pontban eltér az NVHP és a VFP-be foglalt NVH beavatkozási logikájának kialakítása.</w:t>
      </w:r>
    </w:p>
    <w:p w:rsidR="00170A1A" w:rsidRPr="00BB2924" w:rsidRDefault="00170A1A" w:rsidP="00FC0A30">
      <w:pPr>
        <w:pStyle w:val="HStandard"/>
        <w:rPr>
          <w:highlight w:val="yellow"/>
        </w:rPr>
      </w:pPr>
      <w:r>
        <w:rPr>
          <w:highlight w:val="yellow"/>
        </w:rPr>
        <w:t xml:space="preserve">A VFP keretében tervezett NVH csak az adott területtel (általában egy tagállammal vagy az Egyesült Királyság esetében egy régióval) kapcsolatos egyetlen programot és annak igényeit támogatja, ideértve az NVH révén megcélozhatókat. Az NVHP-t azonban általában multiregionális tagállamokban tervezik és hajtják végre, így ezek több regionális VFP-t támogatnak. Bizonyos programspecifikus célkitűzések eltérhetnek az egyes regionális VFP-k között. Ilyen esetekben az NVHP várhatóan eredmények és hatások szélesebb skáláját éri el. Emiatt az NVHP átfogó és specifikus célkitűzéseinek is szélesebb körűeknek kell lenniük. </w:t>
      </w:r>
    </w:p>
    <w:p w:rsidR="00170A1A" w:rsidRPr="00BB2924" w:rsidRDefault="00170A1A" w:rsidP="00C72F66">
      <w:pPr>
        <w:pStyle w:val="Heading6"/>
        <w:rPr>
          <w:highlight w:val="yellow"/>
        </w:rPr>
      </w:pPr>
      <w:r>
        <w:rPr>
          <w:highlight w:val="yellow"/>
        </w:rPr>
        <w:t xml:space="preserve">Hogyan kell felépíteni az NVH beavatkozási logikáját, ha csak NVH-cselekvésiterv áll rendelkezésre a VFP-ben? </w:t>
      </w:r>
    </w:p>
    <w:p w:rsidR="00170A1A" w:rsidRPr="00BB2924" w:rsidRDefault="00170A1A" w:rsidP="00FC0A30">
      <w:pPr>
        <w:pStyle w:val="HStandard"/>
        <w:rPr>
          <w:highlight w:val="yellow"/>
        </w:rPr>
      </w:pPr>
      <w:r>
        <w:rPr>
          <w:highlight w:val="yellow"/>
        </w:rPr>
        <w:t xml:space="preserve">Az NVH beavatkozási logikáját, ahogy azt fent is említettük, nagyon gyakran nem alakítják ki a megvalósítás kezdete előtt. Ehelyett csupán egy NVH-cselekvésiterv létezik. Ebben az esetben a </w:t>
      </w:r>
      <w:r>
        <w:rPr>
          <w:highlight w:val="yellow"/>
        </w:rPr>
        <w:lastRenderedPageBreak/>
        <w:t>cselekvési terv és a négy közös célkitűzés jelenti az NVH beavatkozási logika kialakításának kiindulópontját. A beavatkozási logika kialakításának lépései a következők:</w:t>
      </w:r>
    </w:p>
    <w:p w:rsidR="00170A1A" w:rsidRPr="00BB2924" w:rsidRDefault="00170A1A" w:rsidP="00C72F66">
      <w:pPr>
        <w:pStyle w:val="Hlistbullet"/>
        <w:rPr>
          <w:highlight w:val="yellow"/>
        </w:rPr>
      </w:pPr>
      <w:r>
        <w:rPr>
          <w:highlight w:val="yellow"/>
        </w:rPr>
        <w:t xml:space="preserve">minden olyan közös és programspecifikus </w:t>
      </w:r>
      <w:r>
        <w:rPr>
          <w:b/>
          <w:highlight w:val="yellow"/>
        </w:rPr>
        <w:t>intézkedéscsoport</w:t>
      </w:r>
      <w:r>
        <w:rPr>
          <w:highlight w:val="yellow"/>
        </w:rPr>
        <w:t xml:space="preserve"> azonosítása, amely szerepel az NVH-cselekvésitervben, </w:t>
      </w:r>
    </w:p>
    <w:p w:rsidR="00170A1A" w:rsidRPr="00BB2924" w:rsidRDefault="00170A1A" w:rsidP="00C72F66">
      <w:pPr>
        <w:pStyle w:val="Hlistbullet"/>
        <w:rPr>
          <w:highlight w:val="yellow"/>
        </w:rPr>
      </w:pPr>
      <w:r>
        <w:rPr>
          <w:highlight w:val="yellow"/>
        </w:rPr>
        <w:t xml:space="preserve">a tevékenységek minden lehetséges </w:t>
      </w:r>
      <w:r>
        <w:rPr>
          <w:b/>
          <w:highlight w:val="yellow"/>
        </w:rPr>
        <w:t>várt kimenetének</w:t>
      </w:r>
      <w:r>
        <w:rPr>
          <w:highlight w:val="yellow"/>
        </w:rPr>
        <w:t xml:space="preserve"> meghatározása minden intézkedéscsoportban, valamint a várt kimenetekhez kapcsolódó </w:t>
      </w:r>
      <w:r>
        <w:rPr>
          <w:b/>
          <w:highlight w:val="yellow"/>
        </w:rPr>
        <w:t>operatív NVH-célkitűzések</w:t>
      </w:r>
      <w:r>
        <w:rPr>
          <w:highlight w:val="yellow"/>
        </w:rPr>
        <w:t xml:space="preserve"> megfogalmazása,</w:t>
      </w:r>
    </w:p>
    <w:p w:rsidR="00170A1A" w:rsidRPr="00BB2924" w:rsidRDefault="00170A1A" w:rsidP="00C72F66">
      <w:pPr>
        <w:pStyle w:val="Hlistbullet"/>
        <w:rPr>
          <w:highlight w:val="yellow"/>
        </w:rPr>
      </w:pPr>
      <w:r>
        <w:rPr>
          <w:highlight w:val="yellow"/>
        </w:rPr>
        <w:t xml:space="preserve">a </w:t>
      </w:r>
      <w:r>
        <w:rPr>
          <w:b/>
          <w:highlight w:val="yellow"/>
        </w:rPr>
        <w:t>várt eredmények és hatások</w:t>
      </w:r>
      <w:r>
        <w:rPr>
          <w:highlight w:val="yellow"/>
        </w:rPr>
        <w:t xml:space="preserve"> meghatározása, annak meghatározása, hogy mely várt kimenetek érhetők el a kimenet-eredmény-hatás láncban (lásd még a közös intézkedéscsoportokkal kapcsolatosan az iránymutatás </w:t>
      </w:r>
      <w:r>
        <w:rPr>
          <w:b/>
          <w:color w:val="E7E6E6" w:themeColor="background2"/>
          <w:highlight w:val="yellow"/>
        </w:rPr>
        <w:t>III. részében</w:t>
      </w:r>
      <w:r>
        <w:rPr>
          <w:highlight w:val="yellow"/>
        </w:rPr>
        <w:t xml:space="preserve"> bemutatott, kimenet-eredmény-hatás láncra vonatkozó példákat), </w:t>
      </w:r>
    </w:p>
    <w:p w:rsidR="00170A1A" w:rsidRPr="00BB2924" w:rsidRDefault="00170A1A" w:rsidP="00C72F66">
      <w:pPr>
        <w:pStyle w:val="Hlistbullet"/>
        <w:rPr>
          <w:highlight w:val="yellow"/>
        </w:rPr>
      </w:pPr>
      <w:r>
        <w:rPr>
          <w:highlight w:val="yellow"/>
        </w:rPr>
        <w:t xml:space="preserve">a várt eredményekhez kapcsolódó programspecifikus </w:t>
      </w:r>
      <w:r>
        <w:rPr>
          <w:b/>
          <w:highlight w:val="yellow"/>
        </w:rPr>
        <w:t>konkrét NVH-célkitűzések</w:t>
      </w:r>
      <w:r>
        <w:rPr>
          <w:highlight w:val="yellow"/>
        </w:rPr>
        <w:t xml:space="preserve"> kijelölése, </w:t>
      </w:r>
    </w:p>
    <w:p w:rsidR="00170A1A" w:rsidRPr="00BB2924" w:rsidRDefault="00170A1A" w:rsidP="00C72F66">
      <w:pPr>
        <w:pStyle w:val="Hlistbullet"/>
        <w:rPr>
          <w:highlight w:val="yellow"/>
        </w:rPr>
      </w:pPr>
      <w:r>
        <w:rPr>
          <w:highlight w:val="yellow"/>
        </w:rPr>
        <w:t xml:space="preserve">a </w:t>
      </w:r>
      <w:r>
        <w:rPr>
          <w:b/>
          <w:highlight w:val="yellow"/>
        </w:rPr>
        <w:t>várt hatások összekapcsolása a négy közös célkitűzéssel,</w:t>
      </w:r>
      <w:r>
        <w:rPr>
          <w:highlight w:val="yellow"/>
        </w:rPr>
        <w:t xml:space="preserve"> és programspecifikus </w:t>
      </w:r>
      <w:r>
        <w:rPr>
          <w:b/>
          <w:highlight w:val="yellow"/>
        </w:rPr>
        <w:t>átfogó NVH-célkitűzések</w:t>
      </w:r>
      <w:r>
        <w:rPr>
          <w:highlight w:val="yellow"/>
        </w:rPr>
        <w:t xml:space="preserve"> meghatározása, amennyiben a megállapított hatások nem kapcsolhatók a négy közös célkitűzés egyikéhez sem, </w:t>
      </w:r>
    </w:p>
    <w:p w:rsidR="00170A1A" w:rsidRPr="00BB2924" w:rsidRDefault="00170A1A" w:rsidP="00C72F66">
      <w:pPr>
        <w:pStyle w:val="Hlistbullet"/>
        <w:rPr>
          <w:highlight w:val="yellow"/>
        </w:rPr>
      </w:pPr>
      <w:r>
        <w:rPr>
          <w:highlight w:val="yellow"/>
        </w:rPr>
        <w:t xml:space="preserve">az NVH-tevékenységek, várt kimenetek, eredmények, hatások és célkitűzések közötti </w:t>
      </w:r>
      <w:r>
        <w:rPr>
          <w:b/>
          <w:highlight w:val="yellow"/>
        </w:rPr>
        <w:t>vízszintes és függőleges konzisztencia ellenőrzése</w:t>
      </w:r>
      <w:r>
        <w:rPr>
          <w:highlight w:val="yellow"/>
        </w:rPr>
        <w:t xml:space="preserve"> (lásd </w:t>
      </w:r>
      <w:r w:rsidRPr="00BB2924">
        <w:rPr>
          <w:highlight w:val="yellow"/>
        </w:rPr>
        <w:fldChar w:fldCharType="begin" w:fldLock="1"/>
      </w:r>
      <w:r w:rsidRPr="00BB2924">
        <w:rPr>
          <w:highlight w:val="yellow"/>
        </w:rPr>
        <w:instrText xml:space="preserve"> REF _Ref451784593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6</w:t>
      </w:r>
      <w:r w:rsidRPr="00BB2924">
        <w:rPr>
          <w:highlight w:val="yellow"/>
        </w:rPr>
        <w:fldChar w:fldCharType="end"/>
      </w:r>
      <w:r>
        <w:rPr>
          <w:highlight w:val="yellow"/>
        </w:rPr>
        <w:t>).</w:t>
      </w:r>
    </w:p>
    <w:p w:rsidR="00170A1A" w:rsidRPr="00BB2924" w:rsidRDefault="00170A1A" w:rsidP="00FC0A30">
      <w:pPr>
        <w:pStyle w:val="HStandard"/>
        <w:rPr>
          <w:highlight w:val="yellow"/>
        </w:rPr>
      </w:pPr>
      <w:r>
        <w:rPr>
          <w:highlight w:val="yellow"/>
        </w:rPr>
        <w:t xml:space="preserve">A fenti </w:t>
      </w:r>
      <w:r w:rsidRPr="00BB2924">
        <w:rPr>
          <w:highlight w:val="yellow"/>
        </w:rPr>
        <w:fldChar w:fldCharType="begin" w:fldLock="1"/>
      </w:r>
      <w:r w:rsidRPr="00BB2924">
        <w:rPr>
          <w:highlight w:val="yellow"/>
        </w:rPr>
        <w:instrText xml:space="preserve"> REF _Ref451784607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12</w:t>
      </w:r>
      <w:r w:rsidRPr="00BB2924">
        <w:rPr>
          <w:highlight w:val="yellow"/>
        </w:rPr>
        <w:fldChar w:fldCharType="end"/>
      </w:r>
      <w:r>
        <w:rPr>
          <w:highlight w:val="yellow"/>
        </w:rPr>
        <w:t xml:space="preserve"> is szemlélteti az NVH beavatkozási logikájának az NVH-cselekvésiterven alapuló kidolgozását.</w:t>
      </w:r>
    </w:p>
    <w:p w:rsidR="00170A1A" w:rsidRPr="00BB2924" w:rsidRDefault="00170A1A" w:rsidP="00FC0A30">
      <w:pPr>
        <w:pStyle w:val="HHeading5"/>
        <w:rPr>
          <w:highlight w:val="yellow"/>
        </w:rPr>
      </w:pPr>
      <w:r>
        <w:rPr>
          <w:highlight w:val="yellow"/>
        </w:rPr>
        <w:t xml:space="preserve">2. lépés: Az NVH-val kapcsolatos értékelési kérdések és mutatók felülvizsgálata/meghatározása, valamint az ezek és a beavatkozási logika közötti konzisztencia ellenőrzése </w:t>
      </w:r>
    </w:p>
    <w:p w:rsidR="00170A1A" w:rsidRPr="00BB2924" w:rsidRDefault="00170A1A" w:rsidP="00FC0A30">
      <w:pPr>
        <w:pStyle w:val="HStandard"/>
        <w:rPr>
          <w:highlight w:val="yellow"/>
        </w:rPr>
      </w:pPr>
      <w:r>
        <w:rPr>
          <w:highlight w:val="yellow"/>
        </w:rPr>
        <w:t xml:space="preserve">Ez a lépés magában foglalja az NVH-val kapcsolatosan már meglévő, közös és programspecifikus értékelési elemek (értékelési kérdések és mutatók) felülvizsgálatát, valamint új értékelési elemek kidolgozását.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D322AA">
        <w:tc>
          <w:tcPr>
            <w:tcW w:w="9016" w:type="dxa"/>
            <w:shd w:val="clear" w:color="auto" w:fill="F5F4F4" w:themeFill="background2" w:themeFillTint="66"/>
          </w:tcPr>
          <w:p w:rsidR="00170A1A" w:rsidRPr="00BB2924" w:rsidRDefault="00170A1A" w:rsidP="00FC0A30">
            <w:pPr>
              <w:pStyle w:val="HStandard"/>
              <w:rPr>
                <w:highlight w:val="yellow"/>
              </w:rPr>
            </w:pPr>
            <w:r>
              <w:rPr>
                <w:highlight w:val="yellow"/>
              </w:rPr>
              <w:t>Az értékelési kérdések és mutatók felülvizsgálatakor vagy kidolgozásakor a következő útmutató kérdéseket kell megvitatni:</w:t>
            </w:r>
          </w:p>
          <w:p w:rsidR="00170A1A" w:rsidRPr="00BB2924" w:rsidRDefault="00170A1A" w:rsidP="00170A1A">
            <w:pPr>
              <w:pStyle w:val="Hlistbullet"/>
              <w:tabs>
                <w:tab w:val="left" w:pos="567"/>
              </w:tabs>
              <w:rPr>
                <w:highlight w:val="yellow"/>
              </w:rPr>
            </w:pPr>
            <w:r>
              <w:rPr>
                <w:highlight w:val="yellow"/>
              </w:rPr>
              <w:t>Melyek azok a kérdések, amelyek révén az NVH sikeressége értékelhető?</w:t>
            </w:r>
          </w:p>
          <w:p w:rsidR="00170A1A" w:rsidRPr="00BB2924" w:rsidRDefault="00170A1A" w:rsidP="00170A1A">
            <w:pPr>
              <w:pStyle w:val="Hlistbullet"/>
              <w:tabs>
                <w:tab w:val="left" w:pos="567"/>
              </w:tabs>
              <w:rPr>
                <w:highlight w:val="yellow"/>
              </w:rPr>
            </w:pPr>
            <w:r>
              <w:rPr>
                <w:highlight w:val="yellow"/>
              </w:rPr>
              <w:t>Mely kritériumok alapján történik az elbírálás?</w:t>
            </w:r>
          </w:p>
          <w:p w:rsidR="00170A1A" w:rsidRPr="00BB2924" w:rsidRDefault="00170A1A" w:rsidP="00170A1A">
            <w:pPr>
              <w:pStyle w:val="Hlistbullet2"/>
              <w:tabs>
                <w:tab w:val="left" w:pos="567"/>
              </w:tabs>
              <w:rPr>
                <w:highlight w:val="yellow"/>
              </w:rPr>
            </w:pPr>
            <w:r>
              <w:rPr>
                <w:highlight w:val="yellow"/>
              </w:rPr>
              <w:t>Mely mutatókat kell használni az értékelési kérdések megválaszolására? Alkalmasak-e ezek a megalapozott bizonyítékok megszerzésére?</w:t>
            </w:r>
          </w:p>
        </w:tc>
      </w:tr>
    </w:tbl>
    <w:p w:rsidR="00170A1A" w:rsidRPr="00BB2924" w:rsidRDefault="00170A1A" w:rsidP="00FC0A30">
      <w:pPr>
        <w:pStyle w:val="HStandard"/>
        <w:rPr>
          <w:highlight w:val="yellow"/>
        </w:rPr>
      </w:pPr>
      <w:r>
        <w:rPr>
          <w:highlight w:val="yellow"/>
        </w:rPr>
        <w:t xml:space="preserve">E lépés részfeladatait az </w:t>
      </w:r>
      <w:r>
        <w:rPr>
          <w:b/>
          <w:highlight w:val="yellow"/>
        </w:rPr>
        <w:t>alábbi sorrendben</w:t>
      </w:r>
      <w:r>
        <w:rPr>
          <w:highlight w:val="yellow"/>
        </w:rPr>
        <w:t xml:space="preserve"> kell végrehajtani: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a.</w:t>
            </w:r>
          </w:p>
        </w:tc>
        <w:tc>
          <w:tcPr>
            <w:tcW w:w="8028" w:type="dxa"/>
          </w:tcPr>
          <w:p w:rsidR="00170A1A" w:rsidRPr="00BB2924" w:rsidRDefault="00170A1A" w:rsidP="00BE6F49">
            <w:pPr>
              <w:pStyle w:val="Hlistbullet"/>
              <w:numPr>
                <w:ilvl w:val="0"/>
                <w:numId w:val="0"/>
              </w:numPr>
              <w:spacing w:before="0" w:line="280" w:lineRule="atLeast"/>
              <w:jc w:val="left"/>
              <w:rPr>
                <w:sz w:val="18"/>
                <w:szCs w:val="18"/>
                <w:highlight w:val="yellow"/>
              </w:rPr>
            </w:pPr>
            <w:r>
              <w:rPr>
                <w:sz w:val="18"/>
                <w:szCs w:val="18"/>
                <w:highlight w:val="yellow"/>
              </w:rPr>
              <w:t>A meglévő értékelési kérdések felülvizsgálata és az NVH programspecifikus értékelési kérdéseinek kidolgozása.</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b.</w:t>
            </w:r>
          </w:p>
        </w:tc>
        <w:tc>
          <w:tcPr>
            <w:tcW w:w="8028" w:type="dxa"/>
          </w:tcPr>
          <w:p w:rsidR="00170A1A" w:rsidRPr="00BB2924" w:rsidRDefault="00170A1A" w:rsidP="00BE6F49">
            <w:pPr>
              <w:pStyle w:val="HStandard"/>
              <w:rPr>
                <w:sz w:val="18"/>
                <w:szCs w:val="18"/>
                <w:highlight w:val="yellow"/>
              </w:rPr>
            </w:pPr>
            <w:r>
              <w:rPr>
                <w:sz w:val="18"/>
                <w:szCs w:val="18"/>
                <w:highlight w:val="yellow"/>
              </w:rPr>
              <w:t>Az NVH beavatkozásainak sikerét meghatározó és az értékelési kérdések megválaszolására összpontosító elbírálási kritériumok megfogalmazása.</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c.</w:t>
            </w:r>
          </w:p>
        </w:tc>
        <w:tc>
          <w:tcPr>
            <w:tcW w:w="8028" w:type="dxa"/>
          </w:tcPr>
          <w:p w:rsidR="00170A1A" w:rsidRPr="00BB2924" w:rsidRDefault="00170A1A" w:rsidP="00BE6F49">
            <w:pPr>
              <w:pStyle w:val="Hlistbullet"/>
              <w:numPr>
                <w:ilvl w:val="0"/>
                <w:numId w:val="0"/>
              </w:numPr>
              <w:spacing w:before="0" w:line="280" w:lineRule="atLeast"/>
              <w:jc w:val="left"/>
              <w:rPr>
                <w:sz w:val="18"/>
                <w:szCs w:val="18"/>
                <w:highlight w:val="yellow"/>
              </w:rPr>
            </w:pPr>
            <w:r>
              <w:rPr>
                <w:sz w:val="18"/>
                <w:szCs w:val="18"/>
                <w:highlight w:val="yellow"/>
              </w:rPr>
              <w:t>Az NVH-val kapcsolatos programspecifikus eredmény- és hatásmutatók kialakítása.</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d.</w:t>
            </w:r>
          </w:p>
        </w:tc>
        <w:tc>
          <w:tcPr>
            <w:tcW w:w="8028" w:type="dxa"/>
          </w:tcPr>
          <w:p w:rsidR="00170A1A" w:rsidRPr="00BB2924" w:rsidRDefault="00170A1A" w:rsidP="00BE6F49">
            <w:pPr>
              <w:pStyle w:val="Hlistbullet"/>
              <w:numPr>
                <w:ilvl w:val="0"/>
                <w:numId w:val="0"/>
              </w:numPr>
              <w:tabs>
                <w:tab w:val="left" w:pos="317"/>
              </w:tabs>
              <w:spacing w:before="0" w:line="280" w:lineRule="atLeast"/>
              <w:jc w:val="left"/>
              <w:rPr>
                <w:sz w:val="18"/>
                <w:szCs w:val="18"/>
                <w:highlight w:val="yellow"/>
              </w:rPr>
            </w:pPr>
            <w:r>
              <w:rPr>
                <w:sz w:val="18"/>
                <w:szCs w:val="18"/>
                <w:highlight w:val="yellow"/>
              </w:rPr>
              <w:t>Az NVH értékelési elemei és az NVH beavatkozási logikája közötti konzisztencia ellenőrzése.</w:t>
            </w:r>
          </w:p>
        </w:tc>
      </w:tr>
      <w:tr w:rsidR="00170A1A" w:rsidRPr="00BB2924" w:rsidTr="00BE6F49">
        <w:tc>
          <w:tcPr>
            <w:tcW w:w="9016" w:type="dxa"/>
            <w:gridSpan w:val="2"/>
            <w:shd w:val="clear" w:color="auto" w:fill="auto"/>
          </w:tcPr>
          <w:p w:rsidR="00170A1A" w:rsidRPr="00BB2924" w:rsidRDefault="00170A1A" w:rsidP="00BE6F49">
            <w:pPr>
              <w:pStyle w:val="HStandard"/>
              <w:jc w:val="left"/>
              <w:rPr>
                <w:sz w:val="18"/>
                <w:szCs w:val="18"/>
                <w:highlight w:val="yellow"/>
              </w:rPr>
            </w:pPr>
            <w:r>
              <w:rPr>
                <w:b/>
                <w:sz w:val="18"/>
                <w:szCs w:val="18"/>
                <w:highlight w:val="yellow"/>
              </w:rPr>
              <w:t>Várt kimenet</w:t>
            </w:r>
            <w:r>
              <w:rPr>
                <w:sz w:val="18"/>
                <w:szCs w:val="18"/>
                <w:highlight w:val="yellow"/>
              </w:rPr>
              <w:t>: az NVH-hoz kapcsolódó konzisztens monitoring- és értékelési keret.</w:t>
            </w:r>
          </w:p>
        </w:tc>
      </w:tr>
    </w:tbl>
    <w:p w:rsidR="00170A1A" w:rsidRPr="00BB2924" w:rsidRDefault="00170A1A" w:rsidP="00D322AA">
      <w:pPr>
        <w:pStyle w:val="Heading6"/>
        <w:rPr>
          <w:highlight w:val="yellow"/>
        </w:rPr>
      </w:pPr>
      <w:r>
        <w:rPr>
          <w:highlight w:val="yellow"/>
        </w:rPr>
        <w:t xml:space="preserve">Az NVH-val kapcsolatos közös és programspecifikus értékelési kérdések </w:t>
      </w:r>
    </w:p>
    <w:p w:rsidR="00170A1A" w:rsidRPr="00BB2924" w:rsidRDefault="00170A1A" w:rsidP="00FC0A30">
      <w:pPr>
        <w:pStyle w:val="HStandard"/>
        <w:rPr>
          <w:highlight w:val="yellow"/>
        </w:rPr>
      </w:pPr>
      <w:r>
        <w:rPr>
          <w:highlight w:val="yellow"/>
        </w:rPr>
        <w:t xml:space="preserve">Az értékelési igények és témák kitűzése után a megbízó fél (az irányító hatóság vagy a HTE) egyéb szereplőkkel (a minisztériumi NVH-értékelő egységgel, valamint adott esetben az irányító csoporttal) együttműködve mérlegeli az NVH célkitűzéseit és várt hatásait, és átgondolja, hogy az NVH eredményeivel és hatásaival kapcsolatos információk hogyan szerezhetők meg. Ehhez fel kell tenni az </w:t>
      </w:r>
      <w:r>
        <w:rPr>
          <w:highlight w:val="yellow"/>
        </w:rPr>
        <w:lastRenderedPageBreak/>
        <w:t>NVH közös vagy programspecifikus célkitűzéseihez kapcsolódó, megfelelő értékelési kérdéseket</w:t>
      </w:r>
      <w:r>
        <w:rPr>
          <w:rFonts w:ascii="ZWAdobeF" w:hAnsi="ZWAdobeF"/>
          <w:color w:val="auto"/>
          <w:sz w:val="2"/>
          <w:szCs w:val="2"/>
          <w:highlight w:val="yellow"/>
        </w:rPr>
        <w:t>72F</w:t>
      </w:r>
      <w:r w:rsidRPr="00BB2924">
        <w:rPr>
          <w:rStyle w:val="FootnoteReference"/>
          <w:highlight w:val="yellow"/>
        </w:rPr>
        <w:footnoteReference w:id="73"/>
      </w:r>
      <w:r>
        <w:rPr>
          <w:highlight w:val="yellow"/>
        </w:rPr>
        <w:t xml:space="preserve">. Az értékelési kérdések határozzák meg, hogy mire összpontosít az értékelés, ezzel irányítva az értékelő munkáját. </w:t>
      </w:r>
    </w:p>
    <w:p w:rsidR="00170A1A" w:rsidRPr="00BB2924" w:rsidRDefault="00170A1A" w:rsidP="00FC0A30">
      <w:pPr>
        <w:pStyle w:val="HStandard"/>
        <w:rPr>
          <w:highlight w:val="yellow"/>
        </w:rPr>
      </w:pPr>
      <w:r>
        <w:rPr>
          <w:highlight w:val="yellow"/>
        </w:rPr>
        <w:t>Uniós szinten csak egy közös értékelési kérdést kell vizsgálni az NVH és NVHP értékeléséhez</w:t>
      </w:r>
      <w:r>
        <w:rPr>
          <w:rFonts w:ascii="ZWAdobeF" w:hAnsi="ZWAdobeF"/>
          <w:color w:val="auto"/>
          <w:sz w:val="2"/>
          <w:szCs w:val="2"/>
          <w:highlight w:val="yellow"/>
        </w:rPr>
        <w:t>73F</w:t>
      </w:r>
      <w:r w:rsidRPr="00BB2924">
        <w:rPr>
          <w:rStyle w:val="FootnoteReference"/>
          <w:highlight w:val="yellow"/>
        </w:rPr>
        <w:footnoteReference w:id="74"/>
      </w:r>
      <w:r>
        <w:rPr>
          <w:highlight w:val="yellow"/>
        </w:rPr>
        <w:t>:</w:t>
      </w:r>
    </w:p>
    <w:p w:rsidR="00170A1A" w:rsidRPr="00BB2924" w:rsidRDefault="00170A1A" w:rsidP="00FC0A30">
      <w:pPr>
        <w:pStyle w:val="HStandard"/>
        <w:rPr>
          <w:highlight w:val="yellow"/>
        </w:rPr>
      </w:pPr>
      <w:r>
        <w:rPr>
          <w:highlight w:val="yellow"/>
        </w:rPr>
        <w:t>A nemzeti vidékfejlesztési hálózat milyen mértékben járult hozzá az 1303/2013/EU rendelet 59. cikkében és az 1305/2013/EU rendelet 51. cikkének (2) bekezdésében meghatározott célok eléréséhez?</w:t>
      </w:r>
    </w:p>
    <w:p w:rsidR="00170A1A" w:rsidRPr="00BB2924" w:rsidRDefault="00170A1A" w:rsidP="00FC0A30">
      <w:pPr>
        <w:pStyle w:val="HStandard"/>
        <w:rPr>
          <w:highlight w:val="yellow"/>
        </w:rPr>
      </w:pPr>
      <w:r>
        <w:rPr>
          <w:highlight w:val="yellow"/>
        </w:rPr>
        <w:t xml:space="preserve">A fenti közös értékelési kérdés mind a négy, NVH-val kapcsolatos közös szakpolitikai célkitűzéshez kapcsolódik, és közös alapot képez az NVH uniószerte biztosított előnyeinek megállapításához, valamint lehetővé teszi az NVH-k sikereinek összehasonlítását a tagállamok között. Tovább bontható négy értékelési kérdésre, amelyek mindegyike azt vizsgálja, hogy az egyes közös célkitűzések milyen mértékben teljesültek. </w:t>
      </w:r>
    </w:p>
    <w:p w:rsidR="00170A1A" w:rsidRPr="00BB2924" w:rsidRDefault="00170A1A" w:rsidP="00FC0A30">
      <w:pPr>
        <w:pStyle w:val="HStandard"/>
        <w:rPr>
          <w:highlight w:val="yellow"/>
        </w:rPr>
      </w:pPr>
      <w:r>
        <w:rPr>
          <w:highlight w:val="yellow"/>
        </w:rPr>
        <w:t xml:space="preserve">Tekintetbe véve, hogy az NVH(P)-knak javítaniuk kell a vidékfejlesztési programok végrehajtásának minőségét, az NVH(P) értékelésének azt is meg kell vizsgálnia, hogy milyen mértékben járultak hozzá az NVH-k a VFP célkitűzéseinek teljesítéséhez, például a tudástranszfer támogatásához és az innováció előmozdításához a mezőgazdaságban, az erdőgazdálkodásban és a vidéki térségekben, vagy a mezőgazdaság, az élelmiszer-feldolgozás, az erdőgazdálkodás és az innováció közötti kapcsolatok kialakításához. </w:t>
      </w:r>
    </w:p>
    <w:p w:rsidR="00170A1A" w:rsidRPr="00BB2924" w:rsidRDefault="00170A1A" w:rsidP="00FC0A30">
      <w:pPr>
        <w:pStyle w:val="HStandard"/>
        <w:rPr>
          <w:highlight w:val="yellow"/>
        </w:rPr>
      </w:pPr>
      <w:r>
        <w:rPr>
          <w:highlight w:val="yellow"/>
        </w:rPr>
        <w:t>Az irányító hatóságot és a HTE-t/NVH-kat arra ösztönzik, hogy az NVH-kra vonatkozó közös értékelési kérdéseken felül határozzanak meg olyan programspecifikus értékelési kérdéseket is, amelyek az adott NVH(P) sajátosságait és az NVH várt konkrét hatásait tükrözik. A programspecifikus értékelési kérdések kidolgozását az NVH beavatkozási logikájában szereplő programspecifikus NVH-célkitűzésekhez kell igazítani.</w:t>
      </w:r>
    </w:p>
    <w:p w:rsidR="00170A1A" w:rsidRPr="00BB2924" w:rsidRDefault="00170A1A" w:rsidP="00FC0A30">
      <w:pPr>
        <w:pStyle w:val="HStandard"/>
        <w:rPr>
          <w:highlight w:val="yellow"/>
        </w:rPr>
      </w:pPr>
      <w:r>
        <w:rPr>
          <w:highlight w:val="yellow"/>
        </w:rPr>
        <w:t>Az NVH-célkitűzésekkel való összhang érdekében az NVH-val kapcsolatos programspecifikus értékelési kérdéseket a célkitűzés tartalmát tükröző terminológiával összhangban kell meghatározni. Példa:</w:t>
      </w:r>
    </w:p>
    <w:p w:rsidR="00170A1A" w:rsidRPr="00BB2924" w:rsidRDefault="00170A1A" w:rsidP="00975D9B">
      <w:pPr>
        <w:pStyle w:val="Hlistbullet2"/>
        <w:rPr>
          <w:highlight w:val="yellow"/>
        </w:rPr>
      </w:pPr>
      <w:r>
        <w:rPr>
          <w:highlight w:val="yellow"/>
        </w:rPr>
        <w:t>A programspecifikus értékelési kérdéseknek a kimenetek szintjén tükrözniük kell az intézkedéscsoportokat és a működési célkitűzések teljesítése érdekében végrehajtott NVH-beavatkozásokból származó várt kimeneteket. E tekintetben a programspecifikus értékelési kérdések egyike így hangzana: „a közvetlen kimenetek (például a fenti példában említett tematikus információcserék) közül mennyi teljesült az NVH tevékenységei révén?”</w:t>
      </w:r>
    </w:p>
    <w:p w:rsidR="00170A1A" w:rsidRPr="00BB2924" w:rsidRDefault="00170A1A" w:rsidP="00975D9B">
      <w:pPr>
        <w:pStyle w:val="Hlistbullet2"/>
        <w:rPr>
          <w:highlight w:val="yellow"/>
        </w:rPr>
      </w:pPr>
      <w:r>
        <w:rPr>
          <w:highlight w:val="yellow"/>
        </w:rPr>
        <w:t>A programspecifikus értékelési kérdéseknek az eredmények szintjén tükrözniük kell az NVH konkrét célkitűzéseinek megvalósulását. Ki kell fejezniük, hogy a kedvezményezettekkel kapcsolatos várt változásokra milyen hatásokat gyakorol az NVH, például „a változás (a fenti példában az együttműködés javulása) milyen mértékben köszönhető az NVH tevékenységének?”</w:t>
      </w:r>
    </w:p>
    <w:p w:rsidR="00170A1A" w:rsidRPr="00BB2924" w:rsidRDefault="00170A1A" w:rsidP="00975D9B">
      <w:pPr>
        <w:pStyle w:val="Hlistbullet2"/>
        <w:rPr>
          <w:highlight w:val="yellow"/>
        </w:rPr>
      </w:pPr>
      <w:r>
        <w:rPr>
          <w:highlight w:val="yellow"/>
        </w:rPr>
        <w:t>A programspecifikus értékelési kérdéseknek a hatások szintjén tükrözniük kell az átfogó célkitűzések megvalósulását és a programterületen bekövetkezett változásokat. Lehetővé kell tenniük, hogy az észlelt változásokat az NVH beavatkozásaira vezessék vissza. Például: „az NVH milyen mértékben járult hozzá a célváltozónak (a fenti példában az innováció ösztönzésének) a programterületen észlelt változásához?”</w:t>
      </w:r>
    </w:p>
    <w:p w:rsidR="00170A1A" w:rsidRPr="00BB2924" w:rsidRDefault="00170A1A" w:rsidP="00FC0A30">
      <w:pPr>
        <w:pStyle w:val="HStandard"/>
        <w:rPr>
          <w:highlight w:val="yellow"/>
        </w:rPr>
      </w:pPr>
      <w:r>
        <w:rPr>
          <w:highlight w:val="yellow"/>
        </w:rPr>
        <w:t xml:space="preserve">Az irányító hatóságnak, a HTE-nek vagy az értékelő szakértőknek az értékelés megkezdése előtt ellenőrizniük kell, hogy az értékelési kérdések összhangban vannak-e a közös vagy programspecifikus </w:t>
      </w:r>
      <w:r>
        <w:rPr>
          <w:highlight w:val="yellow"/>
        </w:rPr>
        <w:lastRenderedPageBreak/>
        <w:t xml:space="preserve">célkitűzésekkel. Ehhez meg kell érteni a programspecifikus értékelési kérdések és a célkitűzések egyes szintjei közötti kapcsolatot. </w:t>
      </w:r>
    </w:p>
    <w:p w:rsidR="00170A1A" w:rsidRPr="00BB2924" w:rsidRDefault="00170A1A" w:rsidP="00FC0A30">
      <w:pPr>
        <w:pStyle w:val="HStandard"/>
        <w:rPr>
          <w:highlight w:val="yellow"/>
        </w:rPr>
      </w:pPr>
      <w:r>
        <w:rPr>
          <w:highlight w:val="yellow"/>
        </w:rPr>
        <w:t>Az alábbi táblázatban szereplő példa az NVH-hoz kapcsolódó programspecifikus célkitűzések és értékelési kérdések közötti konzisztenciát szemlélteti. A kiindulási pont az olyan innováció iránti igény a vidéki területeken, amely új termékek és piacok megjelenését eredményezné. Az elvárások szerint az NVH ezeket az igényeket megcélozva támogatja az innováció előmozdítását azzal a céllal, hogy új termékeket és piacokat hozzanak létre (programspecifikus célkitűzés), valamint elősegítsék a tudástranszfert és az innovációt (közös célkitűzés).</w:t>
      </w:r>
    </w:p>
    <w:p w:rsidR="00170A1A" w:rsidRPr="00BB2924" w:rsidRDefault="00170A1A" w:rsidP="001249DA">
      <w:pPr>
        <w:pStyle w:val="HHeadingtables"/>
        <w:rPr>
          <w:color w:val="262626"/>
          <w:sz w:val="20"/>
          <w:highlight w:val="yellow"/>
        </w:rPr>
      </w:pPr>
      <w:r>
        <w:br w:type="page"/>
      </w:r>
      <w:bookmarkStart w:id="91" w:name="_Toc436383148"/>
      <w:bookmarkStart w:id="92" w:name="_Toc464410800"/>
      <w:r>
        <w:rPr>
          <w:highlight w:val="yellow"/>
        </w:rPr>
        <w:lastRenderedPageBreak/>
        <w:t>A célkitűzések és az értékelési kérdések közötti kapcsolatok (példa)</w:t>
      </w:r>
      <w:bookmarkEnd w:id="91"/>
      <w:bookmarkEnd w:id="9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36"/>
        <w:gridCol w:w="3468"/>
        <w:gridCol w:w="3712"/>
      </w:tblGrid>
      <w:tr w:rsidR="00170A1A" w:rsidRPr="00EE03C9" w:rsidTr="00FC0A30">
        <w:tc>
          <w:tcPr>
            <w:tcW w:w="1914" w:type="dxa"/>
            <w:shd w:val="clear" w:color="auto" w:fill="E7E6E6" w:themeFill="background2"/>
          </w:tcPr>
          <w:p w:rsidR="00170A1A" w:rsidRPr="00BB2924" w:rsidRDefault="00170A1A" w:rsidP="00D322AA">
            <w:pPr>
              <w:pStyle w:val="Htableleftbolt"/>
              <w:jc w:val="center"/>
              <w:rPr>
                <w:color w:val="5B9BD5" w:themeColor="accent1"/>
                <w:highlight w:val="yellow"/>
              </w:rPr>
            </w:pPr>
            <w:r>
              <w:rPr>
                <w:color w:val="5B9BD5" w:themeColor="accent1"/>
                <w:highlight w:val="yellow"/>
              </w:rPr>
              <w:t>Célkitűzések szintje a hierarchiában</w:t>
            </w:r>
          </w:p>
        </w:tc>
        <w:tc>
          <w:tcPr>
            <w:tcW w:w="3685" w:type="dxa"/>
            <w:shd w:val="clear" w:color="auto" w:fill="E7E6E6" w:themeFill="background2"/>
          </w:tcPr>
          <w:p w:rsidR="00170A1A" w:rsidRPr="00BB2924" w:rsidRDefault="00170A1A" w:rsidP="00D322AA">
            <w:pPr>
              <w:pStyle w:val="Htableleftbolt"/>
              <w:jc w:val="center"/>
              <w:rPr>
                <w:color w:val="5B9BD5" w:themeColor="accent1"/>
                <w:highlight w:val="yellow"/>
              </w:rPr>
            </w:pPr>
            <w:r>
              <w:rPr>
                <w:color w:val="5B9BD5" w:themeColor="accent1"/>
                <w:highlight w:val="yellow"/>
              </w:rPr>
              <w:t>A célkitűzések meghatározása</w:t>
            </w:r>
          </w:p>
          <w:p w:rsidR="00170A1A" w:rsidRPr="00BB2924" w:rsidRDefault="00170A1A" w:rsidP="00D322AA">
            <w:pPr>
              <w:pStyle w:val="Htableleftbolt"/>
              <w:jc w:val="center"/>
              <w:rPr>
                <w:color w:val="5B9BD5" w:themeColor="accent1"/>
                <w:highlight w:val="yellow"/>
              </w:rPr>
            </w:pPr>
            <w:r>
              <w:rPr>
                <w:color w:val="5B9BD5" w:themeColor="accent1"/>
                <w:highlight w:val="yellow"/>
              </w:rPr>
              <w:t>(közös célkitűzés,</w:t>
            </w:r>
          </w:p>
          <w:p w:rsidR="00170A1A" w:rsidRPr="00BB2924" w:rsidRDefault="00170A1A" w:rsidP="00D322AA">
            <w:pPr>
              <w:pStyle w:val="Htableleftbolt"/>
              <w:jc w:val="center"/>
              <w:rPr>
                <w:color w:val="5B9BD5" w:themeColor="accent1"/>
                <w:highlight w:val="yellow"/>
              </w:rPr>
            </w:pPr>
            <w:r>
              <w:rPr>
                <w:color w:val="5B9BD5" w:themeColor="accent1"/>
                <w:highlight w:val="yellow"/>
              </w:rPr>
              <w:t>programspecifikus célkitűzés)</w:t>
            </w:r>
          </w:p>
        </w:tc>
        <w:tc>
          <w:tcPr>
            <w:tcW w:w="3963" w:type="dxa"/>
            <w:shd w:val="clear" w:color="auto" w:fill="E7E6E6" w:themeFill="background2"/>
          </w:tcPr>
          <w:p w:rsidR="00170A1A" w:rsidRPr="00BB2924" w:rsidRDefault="00170A1A" w:rsidP="00D322AA">
            <w:pPr>
              <w:pStyle w:val="Htableleftbolt"/>
              <w:jc w:val="center"/>
              <w:rPr>
                <w:color w:val="5B9BD5" w:themeColor="accent1"/>
                <w:highlight w:val="yellow"/>
              </w:rPr>
            </w:pPr>
            <w:r>
              <w:rPr>
                <w:color w:val="5B9BD5" w:themeColor="accent1"/>
                <w:highlight w:val="yellow"/>
              </w:rPr>
              <w:t>Értékelési kérdések</w:t>
            </w:r>
          </w:p>
          <w:p w:rsidR="00170A1A" w:rsidRPr="00BB2924" w:rsidRDefault="00170A1A" w:rsidP="00514B11">
            <w:pPr>
              <w:pStyle w:val="Htableleftbolt"/>
              <w:rPr>
                <w:color w:val="5B9BD5" w:themeColor="accent1"/>
                <w:highlight w:val="yellow"/>
              </w:rPr>
            </w:pPr>
            <w:r>
              <w:rPr>
                <w:color w:val="5B9BD5" w:themeColor="accent1"/>
                <w:highlight w:val="yellow"/>
              </w:rPr>
              <w:t>(közös értékelési kérdések,</w:t>
            </w:r>
          </w:p>
          <w:p w:rsidR="00170A1A" w:rsidRPr="00BB2924" w:rsidRDefault="00170A1A" w:rsidP="00514B11">
            <w:pPr>
              <w:pStyle w:val="Htableleftbolt"/>
              <w:jc w:val="center"/>
              <w:rPr>
                <w:color w:val="5B9BD5" w:themeColor="accent1"/>
                <w:highlight w:val="yellow"/>
              </w:rPr>
            </w:pPr>
            <w:r>
              <w:rPr>
                <w:color w:val="5B9BD5" w:themeColor="accent1"/>
                <w:highlight w:val="yellow"/>
              </w:rPr>
              <w:t>programspecifikus értékelési kérdések)</w:t>
            </w:r>
          </w:p>
        </w:tc>
      </w:tr>
      <w:tr w:rsidR="00170A1A" w:rsidRPr="00BB2924" w:rsidTr="00FC0A30">
        <w:tc>
          <w:tcPr>
            <w:tcW w:w="1914"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Kimenet – operatív célkitűzések</w:t>
            </w:r>
          </w:p>
        </w:tc>
        <w:tc>
          <w:tcPr>
            <w:tcW w:w="3685"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Tematikus információk és elemzési eredmények cseréjének elősegítése a vidékfejlesztésben érdekeltek között</w:t>
            </w:r>
          </w:p>
          <w:p w:rsidR="00170A1A" w:rsidRPr="00BB2924" w:rsidRDefault="00170A1A" w:rsidP="00FC0A30">
            <w:pPr>
              <w:pStyle w:val="Htableleft"/>
              <w:rPr>
                <w:color w:val="576C88" w:themeColor="text2" w:themeTint="D9"/>
                <w:highlight w:val="yellow"/>
              </w:rPr>
            </w:pPr>
            <w:r>
              <w:rPr>
                <w:color w:val="576C88" w:themeColor="text2" w:themeTint="D9"/>
                <w:highlight w:val="yellow"/>
              </w:rPr>
              <w:t>Hálózatépítési tevékenységek biztosítása tanácsadók és az innovációt támogató szolgálatok számára</w:t>
            </w:r>
          </w:p>
          <w:p w:rsidR="00170A1A" w:rsidRPr="00BB2924" w:rsidRDefault="00170A1A" w:rsidP="00FC0A30">
            <w:pPr>
              <w:pStyle w:val="Htableleft"/>
              <w:rPr>
                <w:color w:val="576C88" w:themeColor="text2" w:themeTint="D9"/>
                <w:highlight w:val="yellow"/>
              </w:rPr>
            </w:pPr>
            <w:r>
              <w:rPr>
                <w:color w:val="576C88" w:themeColor="text2" w:themeTint="D9"/>
                <w:highlight w:val="yellow"/>
              </w:rPr>
              <w:t>Képzés és hálózatépítési tevékenységek biztosítása a HACS-k számára</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Példák összegyűjtése projektekre</w:t>
            </w:r>
          </w:p>
        </w:tc>
        <w:tc>
          <w:tcPr>
            <w:tcW w:w="3963"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értékelési kérdés: Hány tematikus információcsere, nyilvánosság számára elérhető adatbázis az innovatív projektekről és innovációs képzés valósult meg az NVH tevékenységei révén?</w:t>
            </w:r>
          </w:p>
        </w:tc>
      </w:tr>
      <w:tr w:rsidR="00170A1A" w:rsidRPr="00BB2924" w:rsidTr="00FC0A30">
        <w:tc>
          <w:tcPr>
            <w:tcW w:w="1914"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Eredmény – konkrét célkitűzések</w:t>
            </w:r>
          </w:p>
        </w:tc>
        <w:tc>
          <w:tcPr>
            <w:tcW w:w="3685"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Az innovációs projektpartnerek közötti együttműködés, információcsere és hálózatépítés NVH révén történő fejlesztése a vidéki területeken</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Az innovatív termékek és piacok, folyamatok és szervezeti formák létrejöttének ösztönzése</w:t>
            </w:r>
          </w:p>
        </w:tc>
        <w:tc>
          <w:tcPr>
            <w:tcW w:w="3963"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értékelési kérdés: Milyen mértékben járult hozzá az NVH tevékenysége az innovációs projektpartnerek közötti együttműködés, információcsere és hálózatépítés fokozásához?</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értékelési kérdés: Az innovatív termékek és piacok, folyamatok és szervezeti formák fejlesztése és átadása milyen mértékben köszönhető az NVH tevékenységeinek?</w:t>
            </w:r>
          </w:p>
        </w:tc>
      </w:tr>
      <w:tr w:rsidR="00170A1A" w:rsidRPr="00BB2924" w:rsidTr="00FC0A30">
        <w:tc>
          <w:tcPr>
            <w:tcW w:w="1914"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Hatás – átfogó célkitűzések</w:t>
            </w:r>
          </w:p>
        </w:tc>
        <w:tc>
          <w:tcPr>
            <w:tcW w:w="3685"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(Közös célkitűzés) Az innováció előmozdítása a mezőgazdaságban, az élelmiszer-termelésben, az erdőgazdálkodásban és a vidéki térségekben.</w:t>
            </w:r>
          </w:p>
        </w:tc>
        <w:tc>
          <w:tcPr>
            <w:tcW w:w="3963"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Közös értékelési kérdés: Milyen mértékben járult hozzá az NVH az innovációnak a mezőgazdaságban, az élelmiszer-termelésben, az erdőgazdálkodásban és a vidéki térségekben történő előmozdításához (uniós szakpolitikai célkitűzés)?</w:t>
            </w:r>
          </w:p>
        </w:tc>
      </w:tr>
    </w:tbl>
    <w:p w:rsidR="00170A1A" w:rsidRPr="00BB2924" w:rsidRDefault="00170A1A" w:rsidP="00D7626C">
      <w:pPr>
        <w:pStyle w:val="HSource"/>
        <w:jc w:val="left"/>
        <w:rPr>
          <w:highlight w:val="yellow"/>
        </w:rPr>
      </w:pPr>
      <w:r>
        <w:rPr>
          <w:highlight w:val="yellow"/>
        </w:rPr>
        <w:t>Forrás: Európai vidékfejlesztési értékelési támogató szolgálat, 2015</w:t>
      </w:r>
    </w:p>
    <w:p w:rsidR="00170A1A" w:rsidRPr="00BB2924" w:rsidRDefault="00170A1A" w:rsidP="00FC0A30">
      <w:pPr>
        <w:pStyle w:val="HStandard"/>
        <w:rPr>
          <w:highlight w:val="yellow"/>
        </w:rPr>
      </w:pPr>
      <w:r>
        <w:rPr>
          <w:highlight w:val="yellow"/>
        </w:rPr>
        <w:t>Az előző programozási időszakban végrehajtott NVH(P)-értékelésekben alkalmazott értékelési kérdéseket, a bevált gyakorlatokra vonatkozó, az értékelési támogató szolgálat által szervezett NVH-munkaértekezleteken gyűjtött tapasztalatokat</w:t>
      </w:r>
      <w:r>
        <w:rPr>
          <w:rFonts w:ascii="ZWAdobeF" w:hAnsi="ZWAdobeF"/>
          <w:color w:val="auto"/>
          <w:sz w:val="2"/>
          <w:szCs w:val="2"/>
          <w:highlight w:val="yellow"/>
        </w:rPr>
        <w:t>74F</w:t>
      </w:r>
      <w:r w:rsidRPr="00BB2924">
        <w:rPr>
          <w:rStyle w:val="FootnoteReference"/>
          <w:highlight w:val="yellow"/>
        </w:rPr>
        <w:footnoteReference w:id="75"/>
      </w:r>
      <w:r>
        <w:rPr>
          <w:highlight w:val="yellow"/>
        </w:rPr>
        <w:t xml:space="preserve"> és a 2007–2013-as időszak NVHP-inek értékeléséhez kapcsolódó iránymutatást</w:t>
      </w:r>
      <w:r>
        <w:rPr>
          <w:rFonts w:ascii="ZWAdobeF" w:hAnsi="ZWAdobeF"/>
          <w:color w:val="auto"/>
          <w:sz w:val="2"/>
          <w:szCs w:val="2"/>
          <w:highlight w:val="yellow"/>
        </w:rPr>
        <w:t>75F</w:t>
      </w:r>
      <w:r w:rsidRPr="00BB2924">
        <w:rPr>
          <w:rStyle w:val="FootnoteReference"/>
          <w:highlight w:val="yellow"/>
        </w:rPr>
        <w:footnoteReference w:id="76"/>
      </w:r>
      <w:r>
        <w:rPr>
          <w:highlight w:val="yellow"/>
        </w:rPr>
        <w:t xml:space="preserve"> inspirációként lehet használni</w:t>
      </w:r>
      <w:r>
        <w:rPr>
          <w:rFonts w:ascii="ZWAdobeF" w:hAnsi="ZWAdobeF"/>
          <w:color w:val="auto"/>
          <w:sz w:val="2"/>
          <w:szCs w:val="2"/>
          <w:highlight w:val="yellow"/>
        </w:rPr>
        <w:t>76F</w:t>
      </w:r>
      <w:r w:rsidRPr="00BB2924">
        <w:rPr>
          <w:rStyle w:val="FootnoteReference"/>
          <w:highlight w:val="yellow"/>
        </w:rPr>
        <w:footnoteReference w:id="77"/>
      </w:r>
      <w:r>
        <w:rPr>
          <w:highlight w:val="yellow"/>
        </w:rPr>
        <w:t xml:space="preserve"> az NVH-val kapcsolatos programspecifikus értékelési kérdések kidolgozásakor. </w:t>
      </w:r>
    </w:p>
    <w:p w:rsidR="00170A1A" w:rsidRPr="00BB2924" w:rsidRDefault="00170A1A" w:rsidP="00D322AA">
      <w:pPr>
        <w:pStyle w:val="Heading6"/>
        <w:rPr>
          <w:highlight w:val="yellow"/>
        </w:rPr>
      </w:pPr>
      <w:r>
        <w:rPr>
          <w:highlight w:val="yellow"/>
        </w:rPr>
        <w:t>Elbírálási kritériumok</w:t>
      </w:r>
    </w:p>
    <w:p w:rsidR="00170A1A" w:rsidRPr="00BB2924" w:rsidRDefault="00170A1A" w:rsidP="00FC0A30">
      <w:pPr>
        <w:pStyle w:val="HStandard"/>
        <w:rPr>
          <w:highlight w:val="yellow"/>
        </w:rPr>
      </w:pPr>
      <w:r>
        <w:rPr>
          <w:highlight w:val="yellow"/>
        </w:rPr>
        <w:t>Az elbírálási kritériumok határozzák meg a beavatkozás sikerességét, és tovább pontosítják az értékelési kérdéseket. Támogatják az NVH-mutatók kidolgozását és az értékelési kérdések strukturált módon történő megválaszolását</w:t>
      </w:r>
      <w:r>
        <w:rPr>
          <w:rFonts w:ascii="ZWAdobeF" w:hAnsi="ZWAdobeF"/>
          <w:color w:val="auto"/>
          <w:sz w:val="2"/>
          <w:szCs w:val="2"/>
          <w:highlight w:val="yellow"/>
        </w:rPr>
        <w:t>77F</w:t>
      </w:r>
      <w:r w:rsidRPr="00BB2924">
        <w:rPr>
          <w:rStyle w:val="FootnoteReference"/>
          <w:highlight w:val="yellow"/>
        </w:rPr>
        <w:footnoteReference w:id="78"/>
      </w:r>
      <w:r>
        <w:rPr>
          <w:highlight w:val="yellow"/>
        </w:rPr>
        <w:t xml:space="preserve">. Az elbírálási kritériumokat általában az értékelési kérdésekkel együtt állapítják meg. Az értékelési kérdések bizonyítékon alapuló megválaszolásának alapvető előfeltétele az elbírálási kritériumok és a mutatók közötti konzisztencia. Az alábbi ábra az értékelési kérdések, elbírálási kritériumok és mutatók közötti konzisztenciát mutatja be. </w:t>
      </w:r>
    </w:p>
    <w:p w:rsidR="00170A1A" w:rsidRPr="00BB2924" w:rsidRDefault="00170A1A">
      <w:pPr>
        <w:spacing w:after="0" w:line="240" w:lineRule="auto"/>
        <w:rPr>
          <w:rFonts w:cs="Arial"/>
          <w:color w:val="576C88" w:themeColor="text2" w:themeTint="D9"/>
          <w:sz w:val="20"/>
          <w:szCs w:val="20"/>
          <w:highlight w:val="yellow"/>
        </w:rPr>
      </w:pPr>
      <w:r>
        <w:br w:type="page"/>
      </w:r>
    </w:p>
    <w:p w:rsidR="00170A1A" w:rsidRPr="00BB2924" w:rsidRDefault="00170A1A" w:rsidP="00922CBE">
      <w:pPr>
        <w:pStyle w:val="HHeadingfigures"/>
        <w:rPr>
          <w:highlight w:val="yellow"/>
        </w:rPr>
      </w:pPr>
      <w:bookmarkStart w:id="93" w:name="_Toc445465129"/>
      <w:bookmarkStart w:id="94" w:name="_Toc464410817"/>
      <w:r>
        <w:rPr>
          <w:highlight w:val="yellow"/>
        </w:rPr>
        <w:lastRenderedPageBreak/>
        <w:t>Az értékelési kérdések, elbírálási kritériumok és mutatók közötti konzisztencia</w:t>
      </w:r>
      <w:bookmarkEnd w:id="93"/>
      <w:bookmarkEnd w:id="94"/>
      <w:r>
        <w:rPr>
          <w:highlight w:val="yellow"/>
        </w:rPr>
        <w:t xml:space="preserve"> </w:t>
      </w:r>
    </w:p>
    <w:p w:rsidR="00170A1A" w:rsidRPr="00BB2924" w:rsidRDefault="00170A1A" w:rsidP="00FC0A30">
      <w:pPr>
        <w:jc w:val="center"/>
        <w:rPr>
          <w:highlight w:val="yellow"/>
        </w:rPr>
      </w:pPr>
      <w:r w:rsidRPr="009E33FA">
        <w:rPr>
          <w:noProof/>
          <w:highlight w:val="yellow"/>
          <w:lang w:eastAsia="en-GB"/>
        </w:rPr>
        <w:drawing>
          <wp:inline distT="0" distB="0" distL="0" distR="0" wp14:anchorId="742AB745" wp14:editId="7355704B">
            <wp:extent cx="4974336" cy="131788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98693" cy="1324336"/>
                    </a:xfrm>
                    <a:prstGeom prst="rect">
                      <a:avLst/>
                    </a:prstGeom>
                    <a:noFill/>
                    <a:ln>
                      <a:noFill/>
                    </a:ln>
                  </pic:spPr>
                </pic:pic>
              </a:graphicData>
            </a:graphic>
          </wp:inline>
        </w:drawing>
      </w:r>
    </w:p>
    <w:p w:rsidR="00170A1A" w:rsidRPr="00BB2924" w:rsidRDefault="00170A1A" w:rsidP="00FC0A30">
      <w:pPr>
        <w:pStyle w:val="HSource"/>
        <w:rPr>
          <w:highlight w:val="yellow"/>
        </w:rPr>
      </w:pPr>
      <w:r>
        <w:rPr>
          <w:highlight w:val="yellow"/>
        </w:rPr>
        <w:t>Forrás: Európai vidékfejlesztési értékelési támogató szolgálat, 2016</w:t>
      </w:r>
    </w:p>
    <w:p w:rsidR="00170A1A" w:rsidRPr="00BB2924" w:rsidRDefault="00170A1A" w:rsidP="00D322AA">
      <w:pPr>
        <w:pStyle w:val="Heading6"/>
        <w:rPr>
          <w:highlight w:val="yellow"/>
        </w:rPr>
      </w:pPr>
      <w:r>
        <w:rPr>
          <w:highlight w:val="yellow"/>
        </w:rPr>
        <w:t>Az NVH-val kapcsolatos közös és programspecifikus mutatók</w:t>
      </w:r>
    </w:p>
    <w:p w:rsidR="00170A1A" w:rsidRPr="00BB2924" w:rsidRDefault="00170A1A" w:rsidP="00FC0A30">
      <w:pPr>
        <w:pStyle w:val="HStandard"/>
        <w:rPr>
          <w:highlight w:val="yellow"/>
        </w:rPr>
      </w:pPr>
      <w:r>
        <w:rPr>
          <w:highlight w:val="yellow"/>
        </w:rPr>
        <w:t>Jelenleg csak három közös teljesítménymutató áll rendelkezésre</w:t>
      </w:r>
      <w:r>
        <w:rPr>
          <w:rFonts w:ascii="ZWAdobeF" w:hAnsi="ZWAdobeF"/>
          <w:color w:val="auto"/>
          <w:sz w:val="2"/>
          <w:szCs w:val="2"/>
          <w:highlight w:val="yellow"/>
        </w:rPr>
        <w:t>78F</w:t>
      </w:r>
      <w:r w:rsidRPr="00BB2924">
        <w:rPr>
          <w:rStyle w:val="FootnoteReference"/>
          <w:highlight w:val="yellow"/>
        </w:rPr>
        <w:footnoteReference w:id="79"/>
      </w:r>
      <w:r>
        <w:rPr>
          <w:highlight w:val="yellow"/>
        </w:rPr>
        <w:t xml:space="preserve">, amelyet az NVH-k intézkedéscsoportjai határoznak meg, ezek név szerint a következők: </w:t>
      </w:r>
    </w:p>
    <w:p w:rsidR="00170A1A" w:rsidRPr="00BB2924" w:rsidRDefault="00170A1A" w:rsidP="00D322AA">
      <w:pPr>
        <w:pStyle w:val="Hlistbullet"/>
        <w:rPr>
          <w:highlight w:val="yellow"/>
        </w:rPr>
      </w:pPr>
      <w:r>
        <w:rPr>
          <w:highlight w:val="yellow"/>
        </w:rPr>
        <w:t>a tematikus információk és elemzési eredmények felek közötti, az NVH támogatásával létrejött cseréinek száma;</w:t>
      </w:r>
    </w:p>
    <w:p w:rsidR="00170A1A" w:rsidRPr="00BB2924" w:rsidRDefault="00170A1A" w:rsidP="00D322AA">
      <w:pPr>
        <w:pStyle w:val="Hlistbullet"/>
        <w:rPr>
          <w:highlight w:val="yellow"/>
        </w:rPr>
      </w:pPr>
      <w:r>
        <w:rPr>
          <w:highlight w:val="yellow"/>
        </w:rPr>
        <w:t xml:space="preserve">az NVH kommunikációs eszközeinek száma; </w:t>
      </w:r>
    </w:p>
    <w:p w:rsidR="00170A1A" w:rsidRPr="00BB2924" w:rsidRDefault="00170A1A" w:rsidP="00D322AA">
      <w:pPr>
        <w:pStyle w:val="Hlistbullet"/>
        <w:rPr>
          <w:highlight w:val="yellow"/>
        </w:rPr>
      </w:pPr>
      <w:r>
        <w:rPr>
          <w:highlight w:val="yellow"/>
        </w:rPr>
        <w:t>az NVH bevonásával végzett EVH-tevékenységek száma.</w:t>
      </w:r>
    </w:p>
    <w:p w:rsidR="00170A1A" w:rsidRPr="00BB2924" w:rsidRDefault="00170A1A" w:rsidP="00FC0A30">
      <w:pPr>
        <w:pStyle w:val="HStandard"/>
        <w:rPr>
          <w:highlight w:val="yellow"/>
        </w:rPr>
      </w:pPr>
      <w:r>
        <w:rPr>
          <w:highlight w:val="yellow"/>
        </w:rPr>
        <w:t xml:space="preserve">A közös mutatók nem elegendők az NVH összes várt eredményének és hatásának mérésére, és nem nyújtanak kellő bizonyítékot a közös és programspecifikus értékelési kérdések megválaszolásához. Az NVH(P) hatóságai számára ezért igen ajánlott, hogy további eredmény- és hatásmutatókat határozzanak meg a 21. számú közös értékelési kérdés megválaszolásához, illetve NVH-hoz kapcsolódó programspecifikus eredmény- és hatásmutatókat a program konkrét értékelési kérdéseinek megválaszolásához. A mutatókat a programozási szakaszban vagy az értékelés előkészítésekor kell meghatározniuk a program hatóságainak (az irányító hatóságnak, a HTE-nek vagy mindkettőnek). Az NVH-ra vonatkozó programspecifikus mutatók az ebben a fejezetben korábban ismertetett várt NVH-eredmények és -hatások alapján dolgozhatók ki. </w:t>
      </w:r>
    </w:p>
    <w:p w:rsidR="00170A1A" w:rsidRPr="00BB2924" w:rsidRDefault="00170A1A" w:rsidP="00FC0A30">
      <w:pPr>
        <w:pStyle w:val="HStandard"/>
        <w:rPr>
          <w:highlight w:val="yellow"/>
        </w:rPr>
      </w:pPr>
      <w:r>
        <w:rPr>
          <w:highlight w:val="yellow"/>
        </w:rPr>
        <w:t>A 2014–2020 közötti időszakban megvalósítandó VFP-kre vonatkozó közös értékelési kérdésekről szóló munkadokumentum a következő példákat tartalmazza az NVH-ra vonatkozó közös értékelési kérdések megválaszolásához szükséges további információkra:</w:t>
      </w:r>
    </w:p>
    <w:p w:rsidR="00170A1A" w:rsidRPr="00BB2924" w:rsidRDefault="00170A1A" w:rsidP="00975D9B">
      <w:pPr>
        <w:pStyle w:val="Hlistbullet2"/>
        <w:rPr>
          <w:highlight w:val="yellow"/>
        </w:rPr>
      </w:pPr>
      <w:r>
        <w:rPr>
          <w:highlight w:val="yellow"/>
        </w:rPr>
        <w:t>a VFP végrehajtásában az NVH tevékenységének köszönhetően (akár helyi akciócsoportokon keresztül) részt vevő érdekeltek száma (típusonként);</w:t>
      </w:r>
    </w:p>
    <w:p w:rsidR="00170A1A" w:rsidRPr="00BB2924" w:rsidRDefault="00170A1A" w:rsidP="00975D9B">
      <w:pPr>
        <w:pStyle w:val="Hlistbullet2"/>
        <w:rPr>
          <w:highlight w:val="yellow"/>
        </w:rPr>
      </w:pPr>
      <w:r>
        <w:rPr>
          <w:highlight w:val="yellow"/>
        </w:rPr>
        <w:t>az értékelés megállapításain alapuló VFP-módosítások száma, valamint az NVH által szervezett tematikus munkacsoportoktól származó javaslatok száma;</w:t>
      </w:r>
    </w:p>
    <w:p w:rsidR="00170A1A" w:rsidRPr="00BB2924" w:rsidRDefault="00170A1A" w:rsidP="00975D9B">
      <w:pPr>
        <w:pStyle w:val="Hlistbullet2"/>
        <w:rPr>
          <w:highlight w:val="yellow"/>
        </w:rPr>
      </w:pPr>
      <w:r>
        <w:rPr>
          <w:highlight w:val="yellow"/>
        </w:rPr>
        <w:t>az NVH-tevékenységek által ösztönzött, megvalósított vidékfejlesztési projektek százalékos aránya;</w:t>
      </w:r>
    </w:p>
    <w:p w:rsidR="00170A1A" w:rsidRPr="00BB2924" w:rsidRDefault="00170A1A" w:rsidP="00975D9B">
      <w:pPr>
        <w:pStyle w:val="Hlistbullet2"/>
        <w:rPr>
          <w:highlight w:val="yellow"/>
        </w:rPr>
      </w:pPr>
      <w:r>
        <w:rPr>
          <w:highlight w:val="yellow"/>
        </w:rPr>
        <w:t>a vidékfejlesztési politikáról és a finanszírozási lehetőségekről az NVH kommunikációs eszközei útján tájékoztatott személyek száma;</w:t>
      </w:r>
    </w:p>
    <w:p w:rsidR="00170A1A" w:rsidRPr="00BB2924" w:rsidRDefault="00170A1A" w:rsidP="00975D9B">
      <w:pPr>
        <w:pStyle w:val="Hlistbullet2"/>
        <w:rPr>
          <w:highlight w:val="yellow"/>
        </w:rPr>
      </w:pPr>
      <w:r>
        <w:rPr>
          <w:highlight w:val="yellow"/>
        </w:rPr>
        <w:t>az NVH által ösztönzött innovatív projektek százalékos aránya a VFP(k) által támogatott innovatív projektek teljes számához viszonyítva.</w:t>
      </w:r>
    </w:p>
    <w:p w:rsidR="00170A1A" w:rsidRPr="00BB2924" w:rsidRDefault="00170A1A" w:rsidP="00FC0A30">
      <w:pPr>
        <w:pStyle w:val="HStandard"/>
        <w:rPr>
          <w:highlight w:val="yellow"/>
        </w:rPr>
      </w:pPr>
      <w:r>
        <w:rPr>
          <w:highlight w:val="yellow"/>
        </w:rPr>
        <w:t xml:space="preserve">A felsorolás további mutatók kidolgozásának alapjául is felhasználható. A lista nem teljes körű, és további mutatókkal egészíthető ki. Ezenkívül az NVH-tól függően az egyedi beavatkozási logika és programspecifikus értékelési kérdések megválaszolásához további programspecifikus mutatók kidolgozására lehet szükség. </w:t>
      </w:r>
    </w:p>
    <w:p w:rsidR="00170A1A" w:rsidRPr="00BB2924" w:rsidRDefault="00170A1A" w:rsidP="00FC0A30">
      <w:pPr>
        <w:pStyle w:val="HStandard"/>
        <w:rPr>
          <w:highlight w:val="yellow"/>
        </w:rPr>
      </w:pPr>
      <w:r>
        <w:rPr>
          <w:highlight w:val="yellow"/>
        </w:rPr>
        <w:lastRenderedPageBreak/>
        <w:t xml:space="preserve">Az NVH-val kapcsolatos programspecifikus mutatók kidolgozásának egyik gyakorlati módja olyan táblázat alkalmazása, amely felsorolja a hierarchia egyes szintjeihez (kimenet, eredmény, hatás) tartozó célkitűzéseket és értékelési kérdéseket. Ezt mutatja be a </w:t>
      </w:r>
      <w:r w:rsidRPr="00BB2924">
        <w:rPr>
          <w:highlight w:val="yellow"/>
        </w:rPr>
        <w:fldChar w:fldCharType="begin" w:fldLock="1"/>
      </w:r>
      <w:r w:rsidRPr="00BB2924">
        <w:rPr>
          <w:highlight w:val="yellow"/>
        </w:rPr>
        <w:instrText xml:space="preserve"> REF _Ref451784970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7</w:t>
      </w:r>
      <w:r w:rsidRPr="00BB2924">
        <w:rPr>
          <w:highlight w:val="yellow"/>
        </w:rPr>
        <w:fldChar w:fldCharType="end"/>
      </w:r>
      <w:r>
        <w:rPr>
          <w:highlight w:val="yellow"/>
        </w:rPr>
        <w:t xml:space="preserve"> a fent használt innovációs példa alapján.</w:t>
      </w:r>
    </w:p>
    <w:p w:rsidR="00170A1A" w:rsidRPr="00BB2924" w:rsidRDefault="00170A1A">
      <w:pPr>
        <w:spacing w:after="0" w:line="240" w:lineRule="auto"/>
        <w:rPr>
          <w:rFonts w:cs="Arial"/>
          <w:color w:val="576C88" w:themeColor="text2" w:themeTint="D9"/>
          <w:sz w:val="20"/>
          <w:szCs w:val="20"/>
          <w:highlight w:val="yellow"/>
        </w:rPr>
      </w:pPr>
      <w:r>
        <w:br w:type="page"/>
      </w:r>
    </w:p>
    <w:p w:rsidR="00170A1A" w:rsidRPr="00BB2924" w:rsidRDefault="00170A1A" w:rsidP="001249DA">
      <w:pPr>
        <w:pStyle w:val="HHeadingtables"/>
        <w:rPr>
          <w:sz w:val="20"/>
          <w:highlight w:val="yellow"/>
        </w:rPr>
      </w:pPr>
      <w:bookmarkStart w:id="95" w:name="_Ref451784970"/>
      <w:bookmarkStart w:id="96" w:name="_Toc464410801"/>
      <w:bookmarkStart w:id="97" w:name="_Ref435792426"/>
      <w:bookmarkStart w:id="98" w:name="_Toc436383149"/>
      <w:r>
        <w:rPr>
          <w:highlight w:val="yellow"/>
        </w:rPr>
        <w:lastRenderedPageBreak/>
        <w:t>Példa az NVH-val kapcsolatos célkitűzések, értékelési kérdések és mutatók összekapcsolására</w:t>
      </w:r>
      <w:bookmarkEnd w:id="95"/>
      <w:bookmarkEnd w:id="96"/>
      <w:r>
        <w:rPr>
          <w:highlight w:val="yellow"/>
        </w:rPr>
        <w:t xml:space="preserve"> </w:t>
      </w:r>
      <w:bookmarkEnd w:id="97"/>
      <w:bookmarkEnd w:id="9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534"/>
        <w:gridCol w:w="2052"/>
        <w:gridCol w:w="2032"/>
        <w:gridCol w:w="3398"/>
      </w:tblGrid>
      <w:tr w:rsidR="00170A1A" w:rsidRPr="00BB2924" w:rsidTr="00FC0A30">
        <w:tc>
          <w:tcPr>
            <w:tcW w:w="1711" w:type="dxa"/>
            <w:shd w:val="clear" w:color="auto" w:fill="E7E6E6" w:themeFill="background2"/>
          </w:tcPr>
          <w:p w:rsidR="00170A1A" w:rsidRPr="00BB2924" w:rsidRDefault="00170A1A" w:rsidP="00D322AA">
            <w:pPr>
              <w:pStyle w:val="Htableleftbolt"/>
              <w:rPr>
                <w:color w:val="5B9BD5" w:themeColor="accent1"/>
                <w:highlight w:val="yellow"/>
              </w:rPr>
            </w:pPr>
            <w:r>
              <w:rPr>
                <w:color w:val="5B9BD5" w:themeColor="accent1"/>
                <w:highlight w:val="yellow"/>
              </w:rPr>
              <w:t>Célkitűzések szintje az NVH beavatkozási logikájának hierarchiájában</w:t>
            </w:r>
          </w:p>
        </w:tc>
        <w:tc>
          <w:tcPr>
            <w:tcW w:w="2562" w:type="dxa"/>
            <w:shd w:val="clear" w:color="auto" w:fill="E7E6E6" w:themeFill="background2"/>
          </w:tcPr>
          <w:p w:rsidR="00170A1A" w:rsidRPr="00BB2924" w:rsidRDefault="00170A1A" w:rsidP="00D322AA">
            <w:pPr>
              <w:pStyle w:val="Htableleftbolt"/>
              <w:rPr>
                <w:color w:val="5B9BD5" w:themeColor="accent1"/>
                <w:highlight w:val="yellow"/>
              </w:rPr>
            </w:pPr>
            <w:r>
              <w:rPr>
                <w:color w:val="5B9BD5" w:themeColor="accent1"/>
                <w:highlight w:val="yellow"/>
              </w:rPr>
              <w:t>Az NVH célkitűzései</w:t>
            </w:r>
          </w:p>
          <w:p w:rsidR="00170A1A" w:rsidRPr="00BB2924" w:rsidRDefault="00170A1A" w:rsidP="00D322AA">
            <w:pPr>
              <w:pStyle w:val="Htableleftbolt"/>
              <w:rPr>
                <w:b w:val="0"/>
                <w:color w:val="5B9BD5" w:themeColor="accent1"/>
                <w:highlight w:val="yellow"/>
              </w:rPr>
            </w:pPr>
            <w:r>
              <w:rPr>
                <w:b w:val="0"/>
                <w:color w:val="5B9BD5" w:themeColor="accent1"/>
                <w:highlight w:val="yellow"/>
              </w:rPr>
              <w:t>(közös célkitűzések,</w:t>
            </w:r>
          </w:p>
          <w:p w:rsidR="00170A1A" w:rsidRPr="00BB2924" w:rsidRDefault="00170A1A" w:rsidP="007E5B15">
            <w:pPr>
              <w:pStyle w:val="Htableleftbolt"/>
              <w:rPr>
                <w:color w:val="5B9BD5" w:themeColor="accent1"/>
                <w:highlight w:val="yellow"/>
              </w:rPr>
            </w:pPr>
            <w:r>
              <w:rPr>
                <w:b w:val="0"/>
                <w:color w:val="5B9BD5" w:themeColor="accent1"/>
                <w:highlight w:val="yellow"/>
              </w:rPr>
              <w:t>programspecifikus célkitűzések)</w:t>
            </w:r>
          </w:p>
        </w:tc>
        <w:tc>
          <w:tcPr>
            <w:tcW w:w="2454" w:type="dxa"/>
            <w:shd w:val="clear" w:color="auto" w:fill="E7E6E6" w:themeFill="background2"/>
          </w:tcPr>
          <w:p w:rsidR="00170A1A" w:rsidRPr="00BB2924" w:rsidRDefault="00170A1A" w:rsidP="00D322AA">
            <w:pPr>
              <w:pStyle w:val="Htableleftbolt"/>
              <w:rPr>
                <w:color w:val="5B9BD5" w:themeColor="accent1"/>
                <w:highlight w:val="yellow"/>
              </w:rPr>
            </w:pPr>
            <w:r>
              <w:rPr>
                <w:color w:val="5B9BD5" w:themeColor="accent1"/>
                <w:highlight w:val="yellow"/>
              </w:rPr>
              <w:t>Az NVH-értékelés kérdései</w:t>
            </w:r>
          </w:p>
          <w:p w:rsidR="00170A1A" w:rsidRPr="00BB2924" w:rsidRDefault="00170A1A" w:rsidP="00D322AA">
            <w:pPr>
              <w:pStyle w:val="Htableleftbolt"/>
              <w:rPr>
                <w:b w:val="0"/>
                <w:color w:val="5B9BD5" w:themeColor="accent1"/>
                <w:highlight w:val="yellow"/>
              </w:rPr>
            </w:pPr>
            <w:r>
              <w:rPr>
                <w:b w:val="0"/>
                <w:color w:val="5B9BD5" w:themeColor="accent1"/>
                <w:highlight w:val="yellow"/>
              </w:rPr>
              <w:t>(közös értékelési kérdések,</w:t>
            </w:r>
          </w:p>
          <w:p w:rsidR="00170A1A" w:rsidRPr="00BB2924" w:rsidRDefault="00170A1A" w:rsidP="00D322AA">
            <w:pPr>
              <w:pStyle w:val="Htableleftbolt"/>
              <w:rPr>
                <w:color w:val="5B9BD5" w:themeColor="accent1"/>
                <w:highlight w:val="yellow"/>
              </w:rPr>
            </w:pPr>
            <w:r>
              <w:rPr>
                <w:b w:val="0"/>
                <w:color w:val="5B9BD5" w:themeColor="accent1"/>
                <w:highlight w:val="yellow"/>
              </w:rPr>
              <w:t>programspecifikus értékelési kérdések)</w:t>
            </w:r>
          </w:p>
        </w:tc>
        <w:tc>
          <w:tcPr>
            <w:tcW w:w="2289" w:type="dxa"/>
            <w:shd w:val="clear" w:color="auto" w:fill="E7E6E6" w:themeFill="background2"/>
          </w:tcPr>
          <w:p w:rsidR="00170A1A" w:rsidRPr="00BB2924" w:rsidRDefault="00170A1A" w:rsidP="00D322AA">
            <w:pPr>
              <w:pStyle w:val="Htableleftbolt"/>
              <w:rPr>
                <w:color w:val="5B9BD5" w:themeColor="accent1"/>
                <w:highlight w:val="yellow"/>
              </w:rPr>
            </w:pPr>
            <w:r>
              <w:rPr>
                <w:color w:val="5B9BD5" w:themeColor="accent1"/>
                <w:highlight w:val="yellow"/>
              </w:rPr>
              <w:t>NVH-mutatók</w:t>
            </w:r>
          </w:p>
          <w:p w:rsidR="00170A1A" w:rsidRPr="00BB2924" w:rsidRDefault="00170A1A" w:rsidP="00D322AA">
            <w:pPr>
              <w:pStyle w:val="Htableleftbolt"/>
              <w:rPr>
                <w:b w:val="0"/>
                <w:color w:val="5B9BD5" w:themeColor="accent1"/>
                <w:szCs w:val="16"/>
                <w:highlight w:val="yellow"/>
              </w:rPr>
            </w:pPr>
            <w:r>
              <w:rPr>
                <w:b w:val="0"/>
                <w:color w:val="5B9BD5" w:themeColor="accent1"/>
                <w:szCs w:val="16"/>
                <w:highlight w:val="yellow"/>
              </w:rPr>
              <w:t>(közös kimenetek,</w:t>
            </w:r>
          </w:p>
          <w:p w:rsidR="00170A1A" w:rsidRPr="00BB2924" w:rsidRDefault="00170A1A" w:rsidP="00D322AA">
            <w:pPr>
              <w:pStyle w:val="Htableleftbolt"/>
              <w:rPr>
                <w:b w:val="0"/>
                <w:color w:val="5B9BD5" w:themeColor="accent1"/>
                <w:szCs w:val="16"/>
                <w:highlight w:val="yellow"/>
              </w:rPr>
            </w:pPr>
            <w:r>
              <w:rPr>
                <w:b w:val="0"/>
                <w:color w:val="5B9BD5" w:themeColor="accent1"/>
                <w:szCs w:val="16"/>
                <w:highlight w:val="yellow"/>
              </w:rPr>
              <w:t>programspecifikus eredmények,</w:t>
            </w:r>
          </w:p>
          <w:p w:rsidR="00170A1A" w:rsidRPr="00BB2924" w:rsidRDefault="00170A1A" w:rsidP="007E5B15">
            <w:pPr>
              <w:pStyle w:val="Htableleftbolt"/>
              <w:rPr>
                <w:color w:val="5B9BD5" w:themeColor="accent1"/>
                <w:highlight w:val="yellow"/>
              </w:rPr>
            </w:pPr>
            <w:r>
              <w:rPr>
                <w:b w:val="0"/>
                <w:color w:val="5B9BD5" w:themeColor="accent1"/>
                <w:szCs w:val="16"/>
                <w:highlight w:val="yellow"/>
              </w:rPr>
              <w:t>programspecifikus hatások)</w:t>
            </w:r>
          </w:p>
        </w:tc>
      </w:tr>
      <w:tr w:rsidR="00170A1A" w:rsidRPr="00BB2924" w:rsidTr="00FC0A30">
        <w:tc>
          <w:tcPr>
            <w:tcW w:w="1711"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Operatív célkitűzések (tevékenységek és kimenetek szintje)</w:t>
            </w:r>
          </w:p>
        </w:tc>
        <w:tc>
          <w:tcPr>
            <w:tcW w:w="2562"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Tematikus információk és elemzési eredmények cseréjének elősegítése a vidékfejlesztésben érdekeltek között</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Hálózatépítési tevékenységek biztosítása tanácsadók és az innovációt támogató szolgálatok számára</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Képzés és hálózatépítési tevékenységek biztosítása a HACS-k számára</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Példák összegyűjtése projektekre</w:t>
            </w:r>
          </w:p>
        </w:tc>
        <w:tc>
          <w:tcPr>
            <w:tcW w:w="2454"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értékelési kérdés: Hány tematikus információcsere, nyilvánosság számára elérhető adatbázis az innovatív projektekről és innovációs képzés valósult meg az NVH tevékenységei révén?</w:t>
            </w:r>
          </w:p>
        </w:tc>
        <w:tc>
          <w:tcPr>
            <w:tcW w:w="2289"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(Közös kimenet) A tematikus információk és elemzési eredmények felek közötti, az NVH támogatásával létrejött cseréinek száma, ezen belül az innovációs képzések száma</w:t>
            </w:r>
          </w:p>
          <w:p w:rsidR="00170A1A" w:rsidRPr="00BB2924" w:rsidRDefault="00170A1A" w:rsidP="00FC0A30">
            <w:pPr>
              <w:pStyle w:val="Htableleft"/>
              <w:rPr>
                <w:color w:val="576C88" w:themeColor="text2" w:themeTint="D9"/>
                <w:highlight w:val="yellow"/>
              </w:rPr>
            </w:pPr>
            <w:r>
              <w:rPr>
                <w:color w:val="576C88" w:themeColor="text2" w:themeTint="D9"/>
                <w:highlight w:val="yellow"/>
              </w:rPr>
              <w:t>(Közös kimenet) Innovatív projektek adatbázisaira külön figyelmet fordító, a nyilvánosság számára elérhető kommunikációs eszközök száma</w:t>
            </w:r>
          </w:p>
        </w:tc>
      </w:tr>
      <w:tr w:rsidR="00170A1A" w:rsidRPr="00BB2924" w:rsidTr="00FC0A30">
        <w:tc>
          <w:tcPr>
            <w:tcW w:w="1711"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Konkrét célkitűzések (eredmények szintje)</w:t>
            </w:r>
          </w:p>
        </w:tc>
        <w:tc>
          <w:tcPr>
            <w:tcW w:w="2562"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 xml:space="preserve"> (Programspecifikus célkitűzés) Az innovációs projektpartnerek közötti együttműködés, információcsere és hálózatépítés NVH révén történő fejlesztése a vidéki területeken</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célkitűzés) Az innovatív termékek és piacok, folyamatok és szervezeti formák létrejöttének ösztönzése</w:t>
            </w:r>
          </w:p>
          <w:p w:rsidR="00170A1A" w:rsidRPr="00707CD8" w:rsidRDefault="00170A1A" w:rsidP="00FC0A30">
            <w:pPr>
              <w:pStyle w:val="Htableleft"/>
              <w:rPr>
                <w:color w:val="576C88" w:themeColor="text2" w:themeTint="D9"/>
                <w:highlight w:val="yellow"/>
              </w:rPr>
            </w:pPr>
          </w:p>
        </w:tc>
        <w:tc>
          <w:tcPr>
            <w:tcW w:w="2454"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értékelési kérdés: Milyen mértékben járultak hozzá az NVH tevékenységei az innovációs projektpartnerek közötti együttműködés, információcsere és hálózatépítés fokozásához?</w:t>
            </w:r>
          </w:p>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értékelési kérdés: Milyen mértékben dolgoztak ki innovatív projekteket az NVH kedvezményezettjei?</w:t>
            </w:r>
          </w:p>
        </w:tc>
        <w:tc>
          <w:tcPr>
            <w:tcW w:w="2289"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(Programspecifikus eredmény) Az innovációs projektpartnerek között az NVH ösztönzésére létrejött további hálózatok/partnerségek/együttműködési csoportok száma.</w:t>
            </w:r>
          </w:p>
          <w:p w:rsidR="00170A1A" w:rsidRPr="00BB2924" w:rsidRDefault="00170A1A" w:rsidP="00FC0A30">
            <w:pPr>
              <w:pStyle w:val="Htableleft"/>
              <w:rPr>
                <w:color w:val="576C88" w:themeColor="text2" w:themeTint="D9"/>
                <w:highlight w:val="yellow"/>
              </w:rPr>
            </w:pPr>
            <w:r>
              <w:rPr>
                <w:color w:val="576C88" w:themeColor="text2" w:themeTint="D9"/>
                <w:highlight w:val="yellow"/>
              </w:rPr>
              <w:t xml:space="preserve">(Programspecifikus eredmény) Az NVH-kedvezményezettek által létrehozott innovatív termékek és piacok, folyamatok és szervezeti formák száma. </w:t>
            </w:r>
          </w:p>
        </w:tc>
      </w:tr>
      <w:tr w:rsidR="00170A1A" w:rsidRPr="00BB2924" w:rsidTr="00FC0A30">
        <w:tc>
          <w:tcPr>
            <w:tcW w:w="1711"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Átfogó célkitűzések (hatások szintje)</w:t>
            </w:r>
          </w:p>
        </w:tc>
        <w:tc>
          <w:tcPr>
            <w:tcW w:w="2562"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(Közös célkitűzés) az innováció előmozdítása a mezőgazdaságban, az élelmiszer-termelésben, az erdőgazdálkodásban és a vidéki térségekben</w:t>
            </w:r>
          </w:p>
        </w:tc>
        <w:tc>
          <w:tcPr>
            <w:tcW w:w="2454"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 xml:space="preserve">Közös értékelési kérdés: Milyen mértékben járult hozzá az NVH az innovációnak a mezőgazdaságban, az élelmiszer-termelésben, az erdőgazdálkodásban és a vidéki </w:t>
            </w:r>
            <w:r>
              <w:rPr>
                <w:color w:val="576C88" w:themeColor="text2" w:themeTint="D9"/>
                <w:highlight w:val="yellow"/>
              </w:rPr>
              <w:lastRenderedPageBreak/>
              <w:t xml:space="preserve">térségekben történő előmozdításához (uniós szakpolitikai célkitűzés)? </w:t>
            </w:r>
          </w:p>
        </w:tc>
        <w:tc>
          <w:tcPr>
            <w:tcW w:w="2289" w:type="dxa"/>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lastRenderedPageBreak/>
              <w:t>(Programspecifikus hatás) Az NVH-tevékenységek eredményeként kifejlesztett, átadott és elindított innovatív termékek és piacok, folyamatok és új szervezeti formák százalékos aránya az értéklánc mentén és a vidéki területeken</w:t>
            </w:r>
          </w:p>
          <w:p w:rsidR="00170A1A" w:rsidRPr="00BB2924" w:rsidRDefault="00170A1A" w:rsidP="00FC0A30">
            <w:pPr>
              <w:pStyle w:val="Htableleft"/>
              <w:rPr>
                <w:color w:val="576C88" w:themeColor="text2" w:themeTint="D9"/>
                <w:highlight w:val="yellow"/>
              </w:rPr>
            </w:pPr>
            <w:r>
              <w:rPr>
                <w:color w:val="576C88" w:themeColor="text2" w:themeTint="D9"/>
                <w:highlight w:val="yellow"/>
              </w:rPr>
              <w:t xml:space="preserve">(Programspecifikus hatás) Az NVH-nak köszönhetően a mezőgazdaságban és az erdőgazdálkodásban </w:t>
            </w:r>
            <w:r>
              <w:rPr>
                <w:color w:val="576C88" w:themeColor="text2" w:themeTint="D9"/>
                <w:highlight w:val="yellow"/>
              </w:rPr>
              <w:lastRenderedPageBreak/>
              <w:t>kidolgozott/megvalósított szabadalmak, prototípusok száma</w:t>
            </w:r>
          </w:p>
        </w:tc>
      </w:tr>
    </w:tbl>
    <w:p w:rsidR="00170A1A" w:rsidRPr="00BB2924" w:rsidRDefault="00170A1A" w:rsidP="00FC0A30">
      <w:pPr>
        <w:pStyle w:val="HSource"/>
        <w:rPr>
          <w:highlight w:val="yellow"/>
        </w:rPr>
      </w:pPr>
      <w:r>
        <w:rPr>
          <w:highlight w:val="yellow"/>
        </w:rPr>
        <w:lastRenderedPageBreak/>
        <w:t>Forrás: Európai vidékfejlesztési értékelési támogató szolgálat, 2016</w:t>
      </w:r>
    </w:p>
    <w:p w:rsidR="00170A1A" w:rsidRPr="00BB2924" w:rsidRDefault="00170A1A" w:rsidP="00FC0A30">
      <w:pPr>
        <w:pStyle w:val="HStandard"/>
        <w:rPr>
          <w:highlight w:val="yellow"/>
        </w:rPr>
      </w:pPr>
      <w:r>
        <w:rPr>
          <w:highlight w:val="yellow"/>
        </w:rPr>
        <w:t>Az NVH-val kapcsolatos programspecifikus mutatókat az NVH-ra vonatkozó szakpolitikai célkitűzésekkel és az értékelési kérdésekkel/elbírálási kritériumokkal összhangban kell kidolgozni. Az NVH-val kapcsolatos programspecifikus mutatók meghatározásához a RACER-kritériumokat kell használni</w:t>
      </w:r>
      <w:r>
        <w:rPr>
          <w:rFonts w:ascii="ZWAdobeF" w:hAnsi="ZWAdobeF"/>
          <w:color w:val="auto"/>
          <w:sz w:val="2"/>
          <w:szCs w:val="2"/>
          <w:highlight w:val="yellow"/>
        </w:rPr>
        <w:t>79F</w:t>
      </w:r>
      <w:r w:rsidRPr="00BB2924">
        <w:rPr>
          <w:rStyle w:val="FootnoteReference"/>
          <w:highlight w:val="yellow"/>
        </w:rPr>
        <w:footnoteReference w:id="80"/>
      </w:r>
      <w:r>
        <w:rPr>
          <w:highlight w:val="yellow"/>
        </w:rPr>
        <w:t>, amelyek a következők:</w:t>
      </w:r>
    </w:p>
    <w:p w:rsidR="00170A1A" w:rsidRPr="00BB2924" w:rsidRDefault="00170A1A">
      <w:pPr>
        <w:spacing w:after="0" w:line="240" w:lineRule="auto"/>
        <w:rPr>
          <w:rFonts w:cs="Arial"/>
          <w:color w:val="576C88" w:themeColor="text2" w:themeTint="D9"/>
          <w:sz w:val="20"/>
          <w:szCs w:val="20"/>
          <w:highlight w:val="yellow"/>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170A1A" w:rsidRPr="00BB2924" w:rsidTr="00D322AA">
        <w:trPr>
          <w:trHeight w:val="780"/>
        </w:trPr>
        <w:tc>
          <w:tcPr>
            <w:tcW w:w="1467" w:type="dxa"/>
            <w:shd w:val="clear" w:color="auto" w:fill="E7E6E6" w:themeFill="background2"/>
          </w:tcPr>
          <w:p w:rsidR="00170A1A" w:rsidRPr="00BB2924" w:rsidRDefault="00170A1A"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szCs w:val="18"/>
                <w:highlight w:val="yellow"/>
              </w:rPr>
              <w:lastRenderedPageBreak/>
              <w:t>Releváns</w:t>
            </w:r>
          </w:p>
        </w:tc>
        <w:tc>
          <w:tcPr>
            <w:tcW w:w="7549" w:type="dxa"/>
          </w:tcPr>
          <w:p w:rsidR="00170A1A" w:rsidRPr="00BB2924" w:rsidRDefault="00170A1A"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szCs w:val="18"/>
                <w:highlight w:val="yellow"/>
              </w:rPr>
              <w:t xml:space="preserve">A mutatók szorosan kapcsolódnak az elérendő célkitűzésekhez? Meghatározásuk a megfelelő szinten történt? A hatásmutatók valóban a hatás mutatói, és az eredménymutatók tényleg az eredményekre utalnak? </w:t>
            </w:r>
          </w:p>
        </w:tc>
      </w:tr>
      <w:tr w:rsidR="00170A1A" w:rsidRPr="00BB2924" w:rsidTr="001249DA">
        <w:trPr>
          <w:trHeight w:val="376"/>
        </w:trPr>
        <w:tc>
          <w:tcPr>
            <w:tcW w:w="1467" w:type="dxa"/>
            <w:shd w:val="clear" w:color="auto" w:fill="E7E6E6" w:themeFill="background2"/>
          </w:tcPr>
          <w:p w:rsidR="00170A1A" w:rsidRPr="00BB2924" w:rsidRDefault="00170A1A"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szCs w:val="18"/>
                <w:highlight w:val="yellow"/>
              </w:rPr>
              <w:t>Elfogadott</w:t>
            </w:r>
          </w:p>
        </w:tc>
        <w:tc>
          <w:tcPr>
            <w:tcW w:w="7549" w:type="dxa"/>
          </w:tcPr>
          <w:p w:rsidR="00170A1A" w:rsidRPr="00BB2924" w:rsidRDefault="00170A1A"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szCs w:val="18"/>
                <w:highlight w:val="yellow"/>
              </w:rPr>
              <w:t>Az érdekeltek elfogadják azokat?</w:t>
            </w:r>
          </w:p>
        </w:tc>
      </w:tr>
      <w:tr w:rsidR="00170A1A" w:rsidRPr="00BB2924" w:rsidTr="001249DA">
        <w:trPr>
          <w:trHeight w:val="523"/>
        </w:trPr>
        <w:tc>
          <w:tcPr>
            <w:tcW w:w="1467" w:type="dxa"/>
            <w:shd w:val="clear" w:color="auto" w:fill="E7E6E6" w:themeFill="background2"/>
          </w:tcPr>
          <w:p w:rsidR="00170A1A" w:rsidRPr="00BB2924" w:rsidRDefault="00170A1A"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szCs w:val="18"/>
                <w:highlight w:val="yellow"/>
              </w:rPr>
              <w:t>Hiteles</w:t>
            </w:r>
          </w:p>
        </w:tc>
        <w:tc>
          <w:tcPr>
            <w:tcW w:w="7549" w:type="dxa"/>
          </w:tcPr>
          <w:p w:rsidR="00170A1A" w:rsidRPr="00BB2924" w:rsidRDefault="00170A1A"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szCs w:val="18"/>
                <w:highlight w:val="yellow"/>
              </w:rPr>
              <w:t>Külső szereplők is elfogadják azokat, egyúttal egyértelműek és könnyen érthetők a nem szakemberek számára is?</w:t>
            </w:r>
          </w:p>
        </w:tc>
      </w:tr>
      <w:tr w:rsidR="00170A1A" w:rsidRPr="00BB2924" w:rsidTr="00D322AA">
        <w:trPr>
          <w:trHeight w:val="525"/>
        </w:trPr>
        <w:tc>
          <w:tcPr>
            <w:tcW w:w="1467" w:type="dxa"/>
            <w:shd w:val="clear" w:color="auto" w:fill="E7E6E6" w:themeFill="background2"/>
          </w:tcPr>
          <w:p w:rsidR="00170A1A" w:rsidRPr="00BB2924" w:rsidRDefault="00170A1A"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szCs w:val="18"/>
                <w:highlight w:val="yellow"/>
              </w:rPr>
              <w:t>Könnyű</w:t>
            </w:r>
          </w:p>
        </w:tc>
        <w:tc>
          <w:tcPr>
            <w:tcW w:w="7549" w:type="dxa"/>
          </w:tcPr>
          <w:p w:rsidR="00170A1A" w:rsidRPr="00BB2924" w:rsidRDefault="00170A1A"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szCs w:val="18"/>
                <w:highlight w:val="yellow"/>
              </w:rPr>
              <w:t>Könnyen ellenőrizhetők?</w:t>
            </w:r>
          </w:p>
        </w:tc>
      </w:tr>
      <w:tr w:rsidR="00170A1A" w:rsidRPr="00BB2924" w:rsidTr="001249DA">
        <w:trPr>
          <w:trHeight w:val="389"/>
        </w:trPr>
        <w:tc>
          <w:tcPr>
            <w:tcW w:w="1467" w:type="dxa"/>
            <w:shd w:val="clear" w:color="auto" w:fill="E7E6E6" w:themeFill="background2"/>
          </w:tcPr>
          <w:p w:rsidR="00170A1A" w:rsidRPr="00BB2924" w:rsidRDefault="00170A1A"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szCs w:val="18"/>
                <w:highlight w:val="yellow"/>
              </w:rPr>
              <w:t>Szilárd</w:t>
            </w:r>
          </w:p>
        </w:tc>
        <w:tc>
          <w:tcPr>
            <w:tcW w:w="7549" w:type="dxa"/>
          </w:tcPr>
          <w:p w:rsidR="00170A1A" w:rsidRPr="00BB2924" w:rsidRDefault="00170A1A"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szCs w:val="18"/>
                <w:highlight w:val="yellow"/>
              </w:rPr>
              <w:t>Később is használhatók lesznek? Nem manipulálhatók könnyen?</w:t>
            </w:r>
          </w:p>
        </w:tc>
      </w:tr>
    </w:tbl>
    <w:p w:rsidR="00170A1A" w:rsidRPr="00BB2924" w:rsidRDefault="00170A1A" w:rsidP="00FC0A30">
      <w:pPr>
        <w:pStyle w:val="HStandard"/>
        <w:rPr>
          <w:highlight w:val="yellow"/>
        </w:rPr>
      </w:pPr>
      <w:r>
        <w:rPr>
          <w:highlight w:val="yellow"/>
        </w:rPr>
        <w:t>A mutatónak az adatgyűjtés (könnyűségi kritérium) szempontjából történő vizsgálata az értékelés költséghatékonyságával kapcsolatos. Az értékelési költségvetés legnagyobb részét az adatgyűjtés teszi ki. Ezért a mutatók kidolgozásakor figyelembe kell venni az arányosságot. Amennyiben az NVH költségvetése viszonylag kicsi, irreális lehet a széleskörű és költséges adatgyűjtést igénylő mutatók használata.</w:t>
      </w:r>
    </w:p>
    <w:p w:rsidR="00170A1A" w:rsidRPr="00BB2924" w:rsidRDefault="00170A1A" w:rsidP="00FC0A30">
      <w:pPr>
        <w:pStyle w:val="HStandard"/>
        <w:rPr>
          <w:highlight w:val="yellow"/>
        </w:rPr>
      </w:pPr>
      <w:r>
        <w:rPr>
          <w:highlight w:val="yellow"/>
        </w:rPr>
        <w:t xml:space="preserve">Az NVH-értékelés minden elemének (célkitűzések, értékelési kérdések, elbírálási kritériumok és mutatók) összegzéséhez a táblázatos forma használata célszerű (lásd a példát: </w:t>
      </w:r>
      <w:r w:rsidRPr="00BB2924">
        <w:rPr>
          <w:highlight w:val="yellow"/>
        </w:rPr>
        <w:fldChar w:fldCharType="begin" w:fldLock="1"/>
      </w:r>
      <w:r w:rsidRPr="00BB2924">
        <w:rPr>
          <w:highlight w:val="yellow"/>
        </w:rPr>
        <w:instrText xml:space="preserve"> REF _Ref451784980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8</w:t>
      </w:r>
      <w:r w:rsidRPr="00BB2924">
        <w:rPr>
          <w:highlight w:val="yellow"/>
        </w:rPr>
        <w:fldChar w:fldCharType="end"/>
      </w:r>
      <w:r>
        <w:rPr>
          <w:highlight w:val="yellow"/>
        </w:rPr>
        <w:t xml:space="preserve">). Az információknak a táblázatban történő összegzésekor könnyen azonosíthatók a hiányosságok, és biztosítható a kapcsolat a célkitűzések, értékelési kérdések és javasolt mérések között. </w:t>
      </w:r>
      <w:bookmarkStart w:id="99" w:name="_Toc436383150"/>
    </w:p>
    <w:p w:rsidR="00170A1A" w:rsidRPr="00BB2924" w:rsidRDefault="00170A1A" w:rsidP="003B7C17">
      <w:pPr>
        <w:pStyle w:val="HHeadingtables"/>
        <w:rPr>
          <w:highlight w:val="yellow"/>
        </w:rPr>
      </w:pPr>
      <w:bookmarkStart w:id="100" w:name="_Ref451784980"/>
      <w:bookmarkStart w:id="101" w:name="_Toc464410802"/>
      <w:r>
        <w:rPr>
          <w:highlight w:val="yellow"/>
        </w:rPr>
        <w:t>Példa az NVH értékelési elemeire</w:t>
      </w:r>
      <w:bookmarkEnd w:id="100"/>
      <w:bookmarkEnd w:id="101"/>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170A1A" w:rsidRPr="00BB2924" w:rsidTr="00387681">
        <w:trPr>
          <w:jc w:val="center"/>
        </w:trPr>
        <w:tc>
          <w:tcPr>
            <w:tcW w:w="1454" w:type="dxa"/>
            <w:shd w:val="clear" w:color="auto" w:fill="E7E6E6" w:themeFill="background2"/>
          </w:tcPr>
          <w:p w:rsidR="00170A1A" w:rsidRPr="00BB2924" w:rsidRDefault="00170A1A" w:rsidP="00FC0A30">
            <w:pPr>
              <w:pStyle w:val="Htableleftbolt"/>
              <w:rPr>
                <w:color w:val="5B9BD5" w:themeColor="accent1"/>
                <w:highlight w:val="yellow"/>
              </w:rPr>
            </w:pPr>
            <w:r>
              <w:rPr>
                <w:color w:val="5B9BD5" w:themeColor="accent1"/>
                <w:highlight w:val="yellow"/>
              </w:rPr>
              <w:t>NVH-célkitűzés (közös)</w:t>
            </w:r>
          </w:p>
        </w:tc>
        <w:tc>
          <w:tcPr>
            <w:tcW w:w="2043" w:type="dxa"/>
            <w:shd w:val="clear" w:color="auto" w:fill="E7E6E6" w:themeFill="background2"/>
          </w:tcPr>
          <w:p w:rsidR="00170A1A" w:rsidRPr="00BB2924" w:rsidRDefault="00170A1A" w:rsidP="00FC0A30">
            <w:pPr>
              <w:pStyle w:val="Htableleftbolt"/>
              <w:rPr>
                <w:color w:val="5B9BD5" w:themeColor="accent1"/>
                <w:highlight w:val="yellow"/>
              </w:rPr>
            </w:pPr>
            <w:r>
              <w:rPr>
                <w:color w:val="5B9BD5" w:themeColor="accent1"/>
                <w:highlight w:val="yellow"/>
              </w:rPr>
              <w:t xml:space="preserve">Programspecifikus értékelési kérdés </w:t>
            </w:r>
          </w:p>
        </w:tc>
        <w:tc>
          <w:tcPr>
            <w:tcW w:w="1605" w:type="dxa"/>
            <w:shd w:val="clear" w:color="auto" w:fill="E7E6E6" w:themeFill="background2"/>
          </w:tcPr>
          <w:p w:rsidR="00170A1A" w:rsidRPr="00BB2924" w:rsidRDefault="00170A1A" w:rsidP="00FC0A30">
            <w:pPr>
              <w:pStyle w:val="Htableleftbolt"/>
              <w:rPr>
                <w:color w:val="5B9BD5" w:themeColor="accent1"/>
                <w:highlight w:val="yellow"/>
              </w:rPr>
            </w:pPr>
            <w:r>
              <w:rPr>
                <w:color w:val="5B9BD5" w:themeColor="accent1"/>
                <w:highlight w:val="yellow"/>
              </w:rPr>
              <w:t>Elbírálási kritériumok</w:t>
            </w:r>
          </w:p>
        </w:tc>
        <w:tc>
          <w:tcPr>
            <w:tcW w:w="1605" w:type="dxa"/>
            <w:shd w:val="clear" w:color="auto" w:fill="E7E6E6" w:themeFill="background2"/>
          </w:tcPr>
          <w:p w:rsidR="00170A1A" w:rsidRPr="00BB2924" w:rsidRDefault="00170A1A" w:rsidP="00FC0A30">
            <w:pPr>
              <w:pStyle w:val="Htableleftbolt"/>
              <w:rPr>
                <w:color w:val="5B9BD5" w:themeColor="accent1"/>
                <w:highlight w:val="yellow"/>
              </w:rPr>
            </w:pPr>
            <w:r>
              <w:rPr>
                <w:color w:val="5B9BD5" w:themeColor="accent1"/>
                <w:highlight w:val="yellow"/>
              </w:rPr>
              <w:t>Az NVH-val kapcsolatosan programspecifikus mutatók</w:t>
            </w:r>
          </w:p>
        </w:tc>
        <w:tc>
          <w:tcPr>
            <w:tcW w:w="1605" w:type="dxa"/>
            <w:shd w:val="clear" w:color="auto" w:fill="E7E6E6" w:themeFill="background2"/>
          </w:tcPr>
          <w:p w:rsidR="00170A1A" w:rsidRPr="00BB2924" w:rsidRDefault="00170A1A" w:rsidP="00FC0A30">
            <w:pPr>
              <w:pStyle w:val="Htableleftbolt"/>
              <w:rPr>
                <w:color w:val="5B9BD5" w:themeColor="accent1"/>
                <w:highlight w:val="yellow"/>
              </w:rPr>
            </w:pPr>
            <w:r>
              <w:rPr>
                <w:color w:val="5B9BD5" w:themeColor="accent1"/>
                <w:highlight w:val="yellow"/>
              </w:rPr>
              <w:t>Adatforrás</w:t>
            </w:r>
          </w:p>
        </w:tc>
      </w:tr>
      <w:tr w:rsidR="00170A1A" w:rsidRPr="00B413B4" w:rsidTr="00387681">
        <w:trPr>
          <w:trHeight w:val="2383"/>
          <w:jc w:val="center"/>
        </w:trPr>
        <w:tc>
          <w:tcPr>
            <w:tcW w:w="1454" w:type="dxa"/>
            <w:tcBorders>
              <w:bottom w:val="single" w:sz="4" w:space="0" w:color="auto"/>
            </w:tcBorders>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A VFP végrehajtása minőségének javítása</w:t>
            </w:r>
          </w:p>
          <w:p w:rsidR="00170A1A" w:rsidRPr="00BB2924" w:rsidRDefault="00170A1A" w:rsidP="00FC0A30">
            <w:pPr>
              <w:pStyle w:val="Htableleft"/>
              <w:rPr>
                <w:color w:val="576C88" w:themeColor="text2" w:themeTint="D9"/>
                <w:highlight w:val="yellow"/>
                <w:lang w:val="en-GB"/>
              </w:rPr>
            </w:pPr>
          </w:p>
          <w:p w:rsidR="00170A1A" w:rsidRPr="00BB2924" w:rsidRDefault="00170A1A" w:rsidP="00FC0A30">
            <w:pPr>
              <w:pStyle w:val="Htableleft"/>
              <w:rPr>
                <w:color w:val="576C88" w:themeColor="text2" w:themeTint="D9"/>
                <w:highlight w:val="yellow"/>
                <w:lang w:val="en-GB"/>
              </w:rPr>
            </w:pPr>
          </w:p>
          <w:p w:rsidR="00170A1A" w:rsidRPr="00BB2924" w:rsidRDefault="00170A1A" w:rsidP="00FC0A30">
            <w:pPr>
              <w:pStyle w:val="Htableleft"/>
              <w:rPr>
                <w:color w:val="576C88" w:themeColor="text2" w:themeTint="D9"/>
                <w:highlight w:val="yellow"/>
                <w:lang w:val="en-GB"/>
              </w:rPr>
            </w:pPr>
          </w:p>
          <w:p w:rsidR="00170A1A" w:rsidRPr="00BB2924" w:rsidRDefault="00170A1A" w:rsidP="00FC0A30">
            <w:pPr>
              <w:pStyle w:val="Htableleft"/>
              <w:rPr>
                <w:color w:val="576C88" w:themeColor="text2" w:themeTint="D9"/>
                <w:highlight w:val="yellow"/>
                <w:lang w:val="en-GB"/>
              </w:rPr>
            </w:pPr>
          </w:p>
          <w:p w:rsidR="00170A1A" w:rsidRPr="00BB2924" w:rsidRDefault="00170A1A" w:rsidP="00FC0A30">
            <w:pPr>
              <w:pStyle w:val="Htableleft"/>
              <w:rPr>
                <w:color w:val="576C88" w:themeColor="text2" w:themeTint="D9"/>
                <w:highlight w:val="yellow"/>
                <w:lang w:val="en-GB"/>
              </w:rPr>
            </w:pPr>
          </w:p>
        </w:tc>
        <w:tc>
          <w:tcPr>
            <w:tcW w:w="2043" w:type="dxa"/>
            <w:tcBorders>
              <w:bottom w:val="single" w:sz="4" w:space="0" w:color="auto"/>
            </w:tcBorders>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 xml:space="preserve">Milyen mértékben járultak hozzá az NVH intézkedései a VFP végrehajtásának jobb minőségéhez? </w:t>
            </w:r>
          </w:p>
        </w:tc>
        <w:tc>
          <w:tcPr>
            <w:tcW w:w="1605" w:type="dxa"/>
            <w:tcBorders>
              <w:bottom w:val="single" w:sz="4" w:space="0" w:color="auto"/>
            </w:tcBorders>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 xml:space="preserve">A VFP végrehajtásának minősége javult az NVH tevékenységei, nevezetesen a VFP-kedvezményezettek megnövekedett kapacitása révén </w:t>
            </w:r>
          </w:p>
        </w:tc>
        <w:tc>
          <w:tcPr>
            <w:tcW w:w="1605" w:type="dxa"/>
            <w:tcBorders>
              <w:bottom w:val="single" w:sz="4" w:space="0" w:color="auto"/>
            </w:tcBorders>
            <w:shd w:val="clear" w:color="auto" w:fill="auto"/>
          </w:tcPr>
          <w:p w:rsidR="00170A1A" w:rsidRPr="00BB2924" w:rsidRDefault="00170A1A" w:rsidP="00893456">
            <w:pPr>
              <w:pStyle w:val="Htableleft"/>
              <w:rPr>
                <w:color w:val="576C88" w:themeColor="text2" w:themeTint="D9"/>
                <w:highlight w:val="yellow"/>
              </w:rPr>
            </w:pPr>
            <w:r>
              <w:rPr>
                <w:color w:val="576C88" w:themeColor="text2" w:themeTint="D9"/>
                <w:highlight w:val="yellow"/>
              </w:rPr>
              <w:t xml:space="preserve">Az NVH tevékenységei által ösztönzött, megvalósított, jó minőségű VFP-projektek száma </w:t>
            </w:r>
          </w:p>
        </w:tc>
        <w:tc>
          <w:tcPr>
            <w:tcW w:w="1605" w:type="dxa"/>
            <w:tcBorders>
              <w:bottom w:val="single" w:sz="4" w:space="0" w:color="auto"/>
            </w:tcBorders>
            <w:shd w:val="clear" w:color="auto" w:fill="auto"/>
          </w:tcPr>
          <w:p w:rsidR="00170A1A" w:rsidRPr="00BB2924" w:rsidRDefault="00170A1A" w:rsidP="00FC0A30">
            <w:pPr>
              <w:pStyle w:val="Htableleft"/>
              <w:rPr>
                <w:color w:val="576C88" w:themeColor="text2" w:themeTint="D9"/>
                <w:highlight w:val="yellow"/>
              </w:rPr>
            </w:pPr>
            <w:r>
              <w:rPr>
                <w:color w:val="576C88" w:themeColor="text2" w:themeTint="D9"/>
                <w:highlight w:val="yellow"/>
              </w:rPr>
              <w:t>Kifizető ügynökségi adatbázis</w:t>
            </w:r>
          </w:p>
          <w:p w:rsidR="00170A1A" w:rsidRPr="00BB2924" w:rsidRDefault="00170A1A" w:rsidP="00FC0A30">
            <w:pPr>
              <w:pStyle w:val="Htableleft"/>
              <w:rPr>
                <w:color w:val="576C88" w:themeColor="text2" w:themeTint="D9"/>
                <w:highlight w:val="yellow"/>
              </w:rPr>
            </w:pPr>
            <w:r>
              <w:rPr>
                <w:color w:val="576C88" w:themeColor="text2" w:themeTint="D9"/>
                <w:highlight w:val="yellow"/>
              </w:rPr>
              <w:t>Kérdőív/felmérés</w:t>
            </w:r>
          </w:p>
          <w:p w:rsidR="00170A1A" w:rsidRPr="00BB2924" w:rsidRDefault="00170A1A" w:rsidP="00FC0A30">
            <w:pPr>
              <w:pStyle w:val="Htableleft"/>
              <w:rPr>
                <w:color w:val="576C88" w:themeColor="text2" w:themeTint="D9"/>
                <w:highlight w:val="yellow"/>
              </w:rPr>
            </w:pPr>
            <w:r>
              <w:rPr>
                <w:color w:val="576C88" w:themeColor="text2" w:themeTint="D9"/>
                <w:highlight w:val="yellow"/>
              </w:rPr>
              <w:t>HTE-adatbázis</w:t>
            </w:r>
          </w:p>
          <w:p w:rsidR="00170A1A" w:rsidRPr="00707CD8" w:rsidRDefault="00170A1A" w:rsidP="00FC0A30">
            <w:pPr>
              <w:pStyle w:val="Htableleft"/>
              <w:rPr>
                <w:color w:val="576C88" w:themeColor="text2" w:themeTint="D9"/>
                <w:highlight w:val="yellow"/>
              </w:rPr>
            </w:pPr>
          </w:p>
        </w:tc>
      </w:tr>
    </w:tbl>
    <w:p w:rsidR="00170A1A" w:rsidRPr="00BB2924" w:rsidRDefault="00170A1A" w:rsidP="00FC0A30">
      <w:pPr>
        <w:pStyle w:val="HSource"/>
        <w:rPr>
          <w:highlight w:val="yellow"/>
        </w:rPr>
      </w:pPr>
      <w:r>
        <w:rPr>
          <w:highlight w:val="yellow"/>
        </w:rPr>
        <w:t>Forrás: Európai vidékfejlesztési értékelési támogató szolgálat, 2016</w:t>
      </w:r>
    </w:p>
    <w:bookmarkEnd w:id="99"/>
    <w:p w:rsidR="00170A1A" w:rsidRPr="00BB2924" w:rsidRDefault="00170A1A" w:rsidP="00FC0A30">
      <w:pPr>
        <w:pStyle w:val="HStandard"/>
        <w:rPr>
          <w:highlight w:val="yellow"/>
        </w:rPr>
      </w:pPr>
      <w:r>
        <w:rPr>
          <w:highlight w:val="yellow"/>
        </w:rPr>
        <w:t>Az értékelés lebonyolításának későbbi pontján, a szerkezet kialakításának szakaszában az értékelők további értékelési kérdéseket és mutatókat javasolhatnak, illetve a meglévő értékelési kérdéseket részkérdésekre bonthatják annak érdekében, hogy az elbírálási kritériumok szerinti még konkrétabb információkat szerezzenek.</w:t>
      </w:r>
    </w:p>
    <w:p w:rsidR="00170A1A" w:rsidRPr="00BB2924" w:rsidRDefault="00170A1A" w:rsidP="00D322AA">
      <w:pPr>
        <w:pStyle w:val="Heading6"/>
        <w:rPr>
          <w:highlight w:val="yellow"/>
        </w:rPr>
      </w:pPr>
      <w:r>
        <w:rPr>
          <w:highlight w:val="yellow"/>
        </w:rPr>
        <w:t>Az NVH értékelési elemei és az NVH beavatkozási logikája közötti konzisztencia ellenőrzése</w:t>
      </w:r>
    </w:p>
    <w:p w:rsidR="00170A1A" w:rsidRPr="00BB2924" w:rsidRDefault="00170A1A" w:rsidP="00FC0A30">
      <w:pPr>
        <w:pStyle w:val="HStandard"/>
        <w:rPr>
          <w:highlight w:val="yellow"/>
        </w:rPr>
      </w:pPr>
      <w:r>
        <w:rPr>
          <w:highlight w:val="yellow"/>
        </w:rPr>
        <w:t>Az összes értékelési elem meghatározása után ellenőrizni kell, hogy azok konzisztensek-e az NVH beavatkozási logikájával. Ehhez fel kell mérni az alábbiakat:</w:t>
      </w:r>
    </w:p>
    <w:p w:rsidR="00170A1A" w:rsidRPr="00BB2924" w:rsidRDefault="00170A1A" w:rsidP="00D322AA">
      <w:pPr>
        <w:pStyle w:val="Hlistbullet"/>
        <w:rPr>
          <w:highlight w:val="yellow"/>
        </w:rPr>
      </w:pPr>
      <w:r>
        <w:rPr>
          <w:highlight w:val="yellow"/>
        </w:rPr>
        <w:t>Alkalmasak-e az értékelési kérdések a célkitűzések teljesítésének megállapítására.</w:t>
      </w:r>
    </w:p>
    <w:p w:rsidR="00170A1A" w:rsidRPr="00BB2924" w:rsidRDefault="00170A1A" w:rsidP="00D322AA">
      <w:pPr>
        <w:pStyle w:val="Hlistbullet"/>
        <w:rPr>
          <w:highlight w:val="yellow"/>
        </w:rPr>
      </w:pPr>
      <w:r>
        <w:rPr>
          <w:highlight w:val="yellow"/>
        </w:rPr>
        <w:t xml:space="preserve">A várt eredmények és hatások mérhetők-e a javasolt eredmény- és hatásmutatókkal. </w:t>
      </w:r>
    </w:p>
    <w:p w:rsidR="00170A1A" w:rsidRPr="00BB2924" w:rsidRDefault="00170A1A" w:rsidP="00D322AA">
      <w:pPr>
        <w:pStyle w:val="Hlistbullet"/>
        <w:rPr>
          <w:highlight w:val="yellow"/>
        </w:rPr>
      </w:pPr>
      <w:r>
        <w:rPr>
          <w:highlight w:val="yellow"/>
        </w:rPr>
        <w:t>Az eredmény- és hatásmutatók megfelelnek-e a RACER-kritériumoknak, és megfelelő bizonyítékot tudnak-e nyújtani az értékelési kérdések megválaszolásához.</w:t>
      </w:r>
    </w:p>
    <w:p w:rsidR="00170A1A" w:rsidRPr="00BB2924" w:rsidRDefault="00170A1A" w:rsidP="00FC0A30">
      <w:pPr>
        <w:pStyle w:val="HStandard"/>
        <w:rPr>
          <w:highlight w:val="yellow"/>
        </w:rPr>
      </w:pPr>
      <w:r>
        <w:rPr>
          <w:highlight w:val="yellow"/>
        </w:rPr>
        <w:t xml:space="preserve">Az NVH beavatkozási logikája és értékelési elemei közötti konzisztenciát az alábbi </w:t>
      </w:r>
      <w:r w:rsidRPr="00BB2924">
        <w:rPr>
          <w:highlight w:val="yellow"/>
        </w:rPr>
        <w:fldChar w:fldCharType="begin" w:fldLock="1"/>
      </w:r>
      <w:r w:rsidRPr="00BB2924">
        <w:rPr>
          <w:highlight w:val="yellow"/>
        </w:rPr>
        <w:instrText xml:space="preserve"> REF _Ref451784635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Figure 14</w:t>
      </w:r>
      <w:r w:rsidRPr="00BB2924">
        <w:rPr>
          <w:highlight w:val="yellow"/>
        </w:rPr>
        <w:fldChar w:fldCharType="end"/>
      </w:r>
      <w:r>
        <w:rPr>
          <w:highlight w:val="yellow"/>
        </w:rPr>
        <w:t xml:space="preserve"> szemlélteti. </w:t>
      </w:r>
    </w:p>
    <w:p w:rsidR="00170A1A" w:rsidRPr="00BB2924" w:rsidRDefault="00170A1A" w:rsidP="00FC0A30">
      <w:pPr>
        <w:pStyle w:val="HStandard"/>
        <w:rPr>
          <w:highlight w:val="yellow"/>
        </w:rPr>
      </w:pPr>
    </w:p>
    <w:p w:rsidR="00170A1A" w:rsidRPr="00BB2924" w:rsidRDefault="00170A1A" w:rsidP="00922CBE">
      <w:pPr>
        <w:pStyle w:val="HHeadingfigures"/>
        <w:rPr>
          <w:highlight w:val="yellow"/>
        </w:rPr>
      </w:pPr>
      <w:bookmarkStart w:id="102" w:name="_Toc445465130"/>
      <w:bookmarkStart w:id="103" w:name="_Ref451784635"/>
      <w:bookmarkStart w:id="104" w:name="_Toc464410818"/>
      <w:r>
        <w:rPr>
          <w:highlight w:val="yellow"/>
        </w:rPr>
        <w:t>Az NVH beavatkozási logikája és értékelési elemei közötti konzisztencia</w:t>
      </w:r>
      <w:bookmarkEnd w:id="102"/>
      <w:bookmarkEnd w:id="103"/>
      <w:bookmarkEnd w:id="104"/>
    </w:p>
    <w:p w:rsidR="00170A1A" w:rsidRPr="00BB2924" w:rsidRDefault="00170A1A" w:rsidP="00FC0A30">
      <w:pPr>
        <w:jc w:val="center"/>
        <w:rPr>
          <w:highlight w:val="yellow"/>
        </w:rPr>
      </w:pPr>
      <w:r w:rsidRPr="00876836">
        <w:rPr>
          <w:noProof/>
          <w:lang w:eastAsia="en-GB"/>
        </w:rPr>
        <w:drawing>
          <wp:inline distT="0" distB="0" distL="0" distR="0" wp14:anchorId="3A11AF95" wp14:editId="7990545D">
            <wp:extent cx="5728601" cy="3525927"/>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9533"/>
                    <a:stretch/>
                  </pic:blipFill>
                  <pic:spPr bwMode="auto">
                    <a:xfrm>
                      <a:off x="0" y="0"/>
                      <a:ext cx="5731510" cy="3527717"/>
                    </a:xfrm>
                    <a:prstGeom prst="rect">
                      <a:avLst/>
                    </a:prstGeom>
                    <a:noFill/>
                    <a:ln>
                      <a:noFill/>
                    </a:ln>
                    <a:extLst>
                      <a:ext uri="{53640926-AAD7-44D8-BBD7-CCE9431645EC}">
                        <a14:shadowObscured xmlns:a14="http://schemas.microsoft.com/office/drawing/2010/main"/>
                      </a:ext>
                    </a:extLst>
                  </pic:spPr>
                </pic:pic>
              </a:graphicData>
            </a:graphic>
          </wp:inline>
        </w:drawing>
      </w:r>
    </w:p>
    <w:p w:rsidR="00170A1A" w:rsidRPr="00BB2924" w:rsidRDefault="00170A1A" w:rsidP="00FC0A30">
      <w:pPr>
        <w:pStyle w:val="HSource"/>
        <w:rPr>
          <w:highlight w:val="yellow"/>
        </w:rPr>
      </w:pPr>
      <w:r>
        <w:rPr>
          <w:highlight w:val="yellow"/>
        </w:rPr>
        <w:t>Forrás: Európai vidékfejlesztési értékelési támogató szolgálat, 2016</w:t>
      </w:r>
    </w:p>
    <w:p w:rsidR="00170A1A" w:rsidRPr="00BB2924" w:rsidRDefault="00170A1A" w:rsidP="00FC0A30">
      <w:pPr>
        <w:pStyle w:val="HHeading5"/>
        <w:rPr>
          <w:highlight w:val="yellow"/>
        </w:rPr>
      </w:pPr>
      <w:r>
        <w:rPr>
          <w:highlight w:val="yellow"/>
        </w:rPr>
        <w:t>3. lépés: Az előnyben részesített értékelési megközelítés kiválasztása</w:t>
      </w:r>
    </w:p>
    <w:p w:rsidR="00170A1A" w:rsidRPr="00BB2924" w:rsidRDefault="00170A1A" w:rsidP="00FC0A30">
      <w:pPr>
        <w:pStyle w:val="HStandard"/>
        <w:rPr>
          <w:highlight w:val="yellow"/>
        </w:rPr>
      </w:pPr>
      <w:r>
        <w:rPr>
          <w:highlight w:val="yellow"/>
        </w:rPr>
        <w:t xml:space="preserve">Az értékelési kérdések, elbírálási kritériumok és mutatók kidolgozása utáni fontos lépés, hogy az NVH-értékelésért felelős hatóság (irányító hatóság, HTE stb.) eldöntse az értékelési kérdések megválaszolásához szükséges információk megszerzésének módját. Ez magában foglalja az értékelési megközelítés (minőségi, mennyiségi és vegyes) kiválasztását.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D322AA">
        <w:tc>
          <w:tcPr>
            <w:tcW w:w="9016" w:type="dxa"/>
            <w:shd w:val="clear" w:color="auto" w:fill="F5F4F4" w:themeFill="background2" w:themeFillTint="66"/>
          </w:tcPr>
          <w:p w:rsidR="00170A1A" w:rsidRPr="00BB2924" w:rsidRDefault="00170A1A" w:rsidP="00FC0A30">
            <w:pPr>
              <w:pStyle w:val="HStandard"/>
              <w:rPr>
                <w:highlight w:val="yellow"/>
              </w:rPr>
            </w:pPr>
            <w:r>
              <w:rPr>
                <w:highlight w:val="yellow"/>
              </w:rPr>
              <w:t>Az értékelési megközelítés kiválasztásában az alábbi kérdések nyújthatnak segítséget:</w:t>
            </w:r>
          </w:p>
          <w:p w:rsidR="00170A1A" w:rsidRPr="00BB2924" w:rsidRDefault="00170A1A" w:rsidP="00170A1A">
            <w:pPr>
              <w:pStyle w:val="Hlistbullet"/>
              <w:tabs>
                <w:tab w:val="left" w:pos="567"/>
              </w:tabs>
              <w:rPr>
                <w:highlight w:val="yellow"/>
              </w:rPr>
            </w:pPr>
            <w:r>
              <w:rPr>
                <w:highlight w:val="yellow"/>
              </w:rPr>
              <w:t>Melyik megközelítés illeszkedik leginkább az értékelés céljaihoz?</w:t>
            </w:r>
          </w:p>
          <w:p w:rsidR="00170A1A" w:rsidRPr="00BB2924" w:rsidRDefault="00170A1A" w:rsidP="00170A1A">
            <w:pPr>
              <w:pStyle w:val="Hlistbullet2"/>
              <w:tabs>
                <w:tab w:val="left" w:pos="567"/>
              </w:tabs>
              <w:rPr>
                <w:highlight w:val="yellow"/>
              </w:rPr>
            </w:pPr>
            <w:r>
              <w:rPr>
                <w:highlight w:val="yellow"/>
              </w:rPr>
              <w:t>Melyik megközelítés adja a legmegbízhatóbb eredményeket a rendelkezésre álló információkat figyelembe véve?</w:t>
            </w:r>
          </w:p>
        </w:tc>
      </w:tr>
    </w:tbl>
    <w:p w:rsidR="00170A1A" w:rsidRPr="00BB2924" w:rsidRDefault="00170A1A" w:rsidP="00FC0A30">
      <w:pPr>
        <w:pStyle w:val="HStandard"/>
        <w:rPr>
          <w:highlight w:val="yellow"/>
        </w:rPr>
      </w:pPr>
      <w:r>
        <w:rPr>
          <w:highlight w:val="yellow"/>
        </w:rPr>
        <w:t xml:space="preserve">Ennek a lépésnek a </w:t>
      </w:r>
      <w:r>
        <w:rPr>
          <w:b/>
          <w:highlight w:val="yellow"/>
        </w:rPr>
        <w:t>várt eredménye</w:t>
      </w:r>
      <w:r>
        <w:rPr>
          <w:highlight w:val="yellow"/>
        </w:rPr>
        <w:t xml:space="preserve"> az értékelési megközelítés, illetve – amennyiben lehetséges – az értékelési kérdések megválaszolására használandó módszerek kiválasztása. </w:t>
      </w:r>
    </w:p>
    <w:p w:rsidR="00170A1A" w:rsidRPr="00BB2924" w:rsidRDefault="00170A1A" w:rsidP="00FC0A30">
      <w:pPr>
        <w:pStyle w:val="HStandard"/>
        <w:rPr>
          <w:highlight w:val="yellow"/>
        </w:rPr>
      </w:pPr>
      <w:r>
        <w:rPr>
          <w:highlight w:val="yellow"/>
        </w:rPr>
        <w:t>Az értékelési megközelítést a felelős hatóságokkal (irányító hatóság, HTE stb.) történő megegyezés után hagyják jóvá és szükség esetén korrigálják az értékelők az értékelés lebonyolításakor, a szerkezet meghatározásának szakaszában. A szerkezet meghatározásának szakaszában az értékelő ezenkívül javaslatot tesz és egyeztet a programért felelős hatóságokkal az összegyűjtött adatok és információk elemzésére, az elbírálások kidolgozására és ezáltal az értékelési kérdések megválaszolására használandó módszerekről</w:t>
      </w:r>
      <w:r>
        <w:rPr>
          <w:rFonts w:ascii="ZWAdobeF" w:hAnsi="ZWAdobeF"/>
          <w:color w:val="auto"/>
          <w:sz w:val="2"/>
          <w:szCs w:val="2"/>
          <w:highlight w:val="yellow"/>
        </w:rPr>
        <w:t>80F</w:t>
      </w:r>
      <w:r w:rsidRPr="00BB2924">
        <w:rPr>
          <w:rStyle w:val="FootnoteReference"/>
          <w:highlight w:val="yellow"/>
        </w:rPr>
        <w:footnoteReference w:id="81"/>
      </w:r>
      <w:r>
        <w:rPr>
          <w:highlight w:val="yellow"/>
        </w:rPr>
        <w:t xml:space="preserve">. Az iránymutatás </w:t>
      </w:r>
      <w:r>
        <w:rPr>
          <w:b/>
          <w:color w:val="E7E6E6" w:themeColor="background2"/>
          <w:highlight w:val="yellow"/>
        </w:rPr>
        <w:t>II. része</w:t>
      </w:r>
      <w:r>
        <w:rPr>
          <w:highlight w:val="yellow"/>
        </w:rPr>
        <w:t xml:space="preserve"> részletes leírást tartalmaz a megfelelő értékelési megközelítés és értékelési módszerek kiválasztásáról.</w:t>
      </w:r>
    </w:p>
    <w:p w:rsidR="00170A1A" w:rsidRPr="00BB2924" w:rsidRDefault="00170A1A" w:rsidP="00FC0A30">
      <w:pPr>
        <w:pStyle w:val="HStandard"/>
        <w:rPr>
          <w:highlight w:val="yellow"/>
        </w:rPr>
      </w:pPr>
      <w:r>
        <w:rPr>
          <w:highlight w:val="yellow"/>
        </w:rPr>
        <w:lastRenderedPageBreak/>
        <w:t xml:space="preserve">A megbízó félnek azonban ezen a ponton még nem kell döntenie az értékelés módszertana tekintetében, mivel az értékelő javasolni fog módszereket a pályázatában. Ennél lényegesebb, hogy a megbízó fél és az NVH egyéb érdekelt felei tudatában legyenek a különféle értékelési módszereknek és annak, hogy ezek mennyire alkalmasak az értékelési igényekkel összefüggő értékelési kérdések megválaszolására. Erre azért van szükség, hogy ellenőrizni tudják az értékelési eredmények minőségét. </w:t>
      </w:r>
    </w:p>
    <w:p w:rsidR="00170A1A" w:rsidRPr="00BB2924" w:rsidRDefault="00170A1A" w:rsidP="00FC0A30">
      <w:pPr>
        <w:pStyle w:val="HHeading5"/>
        <w:rPr>
          <w:highlight w:val="yellow"/>
        </w:rPr>
      </w:pPr>
      <w:r>
        <w:rPr>
          <w:highlight w:val="yellow"/>
        </w:rPr>
        <w:t xml:space="preserve">4. lépés: A szükséges információk és adatok, valamint a lehetséges források szűrése </w:t>
      </w:r>
    </w:p>
    <w:p w:rsidR="00170A1A" w:rsidRPr="00BB2924" w:rsidRDefault="00170A1A" w:rsidP="00FC0A30">
      <w:pPr>
        <w:pStyle w:val="HStandard"/>
        <w:rPr>
          <w:highlight w:val="yellow"/>
        </w:rPr>
      </w:pPr>
      <w:r>
        <w:rPr>
          <w:highlight w:val="yellow"/>
        </w:rPr>
        <w:t xml:space="preserve">Megbízható NVH-értékelés lebonyolításához gondoskodni kell arról, hogy elegendő adat és információ álljon rendelkezésre az NVH-val kapcsolatos mutatók kiszámításához. A szükséges adatok köre attól is függ, hogy mely értékelési megközelítést és módszereket választották.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D322AA">
        <w:tc>
          <w:tcPr>
            <w:tcW w:w="9016" w:type="dxa"/>
            <w:shd w:val="clear" w:color="auto" w:fill="F5F4F4" w:themeFill="background2" w:themeFillTint="66"/>
          </w:tcPr>
          <w:p w:rsidR="00170A1A" w:rsidRPr="00BB2924" w:rsidRDefault="00170A1A" w:rsidP="00FC0A30">
            <w:pPr>
              <w:pStyle w:val="HStandard"/>
              <w:rPr>
                <w:highlight w:val="yellow"/>
              </w:rPr>
            </w:pPr>
            <w:r>
              <w:rPr>
                <w:highlight w:val="yellow"/>
              </w:rPr>
              <w:t xml:space="preserve">Ehhez a lépéshez a következő kérdések nyújtanak segítséget: </w:t>
            </w:r>
          </w:p>
          <w:p w:rsidR="00170A1A" w:rsidRPr="00BB2924" w:rsidRDefault="00170A1A" w:rsidP="00170A1A">
            <w:pPr>
              <w:pStyle w:val="Hlistbullet"/>
              <w:tabs>
                <w:tab w:val="left" w:pos="567"/>
              </w:tabs>
              <w:rPr>
                <w:highlight w:val="yellow"/>
              </w:rPr>
            </w:pPr>
            <w:r>
              <w:rPr>
                <w:highlight w:val="yellow"/>
              </w:rPr>
              <w:t xml:space="preserve">Milyen információkra és adatokra van szükség az értékelési kérdések megválaszolásához? </w:t>
            </w:r>
          </w:p>
          <w:p w:rsidR="00170A1A" w:rsidRPr="00BB2924" w:rsidRDefault="00170A1A" w:rsidP="00170A1A">
            <w:pPr>
              <w:pStyle w:val="Hlistbullet"/>
              <w:tabs>
                <w:tab w:val="left" w:pos="567"/>
              </w:tabs>
              <w:rPr>
                <w:highlight w:val="yellow"/>
              </w:rPr>
            </w:pPr>
            <w:r>
              <w:rPr>
                <w:highlight w:val="yellow"/>
              </w:rPr>
              <w:t>Ezek már rendelkezésre állnak, vagy össze kell azokat gyűjteni?</w:t>
            </w:r>
          </w:p>
          <w:p w:rsidR="00170A1A" w:rsidRPr="00BB2924" w:rsidRDefault="00170A1A" w:rsidP="00170A1A">
            <w:pPr>
              <w:pStyle w:val="Hlistbullet"/>
              <w:tabs>
                <w:tab w:val="left" w:pos="567"/>
              </w:tabs>
              <w:rPr>
                <w:highlight w:val="yellow"/>
              </w:rPr>
            </w:pPr>
            <w:r>
              <w:rPr>
                <w:highlight w:val="yellow"/>
              </w:rPr>
              <w:t xml:space="preserve">Honnan lehet az információkat megszerezni? </w:t>
            </w:r>
          </w:p>
          <w:p w:rsidR="00170A1A" w:rsidRPr="00BB2924" w:rsidRDefault="00170A1A" w:rsidP="00170A1A">
            <w:pPr>
              <w:pStyle w:val="Hlistbullet"/>
              <w:tabs>
                <w:tab w:val="left" w:pos="567"/>
              </w:tabs>
              <w:rPr>
                <w:highlight w:val="yellow"/>
              </w:rPr>
            </w:pPr>
            <w:r>
              <w:rPr>
                <w:highlight w:val="yellow"/>
              </w:rPr>
              <w:t>Hogyan lehet azokat megszerezni?</w:t>
            </w:r>
          </w:p>
          <w:p w:rsidR="00170A1A" w:rsidRPr="00BB2924" w:rsidRDefault="00170A1A" w:rsidP="00170A1A">
            <w:pPr>
              <w:pStyle w:val="Hlistbullet"/>
              <w:tabs>
                <w:tab w:val="left" w:pos="567"/>
              </w:tabs>
              <w:rPr>
                <w:highlight w:val="yellow"/>
              </w:rPr>
            </w:pPr>
            <w:r>
              <w:rPr>
                <w:highlight w:val="yellow"/>
              </w:rPr>
              <w:t xml:space="preserve">Van korlátozás arra vonatkozóan, hogy ki és hogyan használhatja az adatokat? </w:t>
            </w:r>
          </w:p>
          <w:p w:rsidR="00170A1A" w:rsidRPr="00BB2924" w:rsidRDefault="00170A1A" w:rsidP="00170A1A">
            <w:pPr>
              <w:pStyle w:val="Hlistbullet"/>
              <w:tabs>
                <w:tab w:val="left" w:pos="567"/>
              </w:tabs>
              <w:rPr>
                <w:highlight w:val="yellow"/>
              </w:rPr>
            </w:pPr>
            <w:r>
              <w:rPr>
                <w:highlight w:val="yellow"/>
              </w:rPr>
              <w:t xml:space="preserve">Milyen problémák állnak fenn az információkkal/adatokkal kapcsolatosan? </w:t>
            </w:r>
          </w:p>
          <w:p w:rsidR="00170A1A" w:rsidRPr="00BB2924" w:rsidRDefault="00170A1A" w:rsidP="00170A1A">
            <w:pPr>
              <w:pStyle w:val="Hlistbullet2"/>
              <w:tabs>
                <w:tab w:val="left" w:pos="567"/>
              </w:tabs>
              <w:rPr>
                <w:highlight w:val="yellow"/>
              </w:rPr>
            </w:pPr>
            <w:r>
              <w:rPr>
                <w:highlight w:val="yellow"/>
              </w:rPr>
              <w:t>A fentiekből milyen következtetést lehet levonni az NVH-értékelés feladatmeghatározásának elkészítésével kapcsolatosan?</w:t>
            </w:r>
          </w:p>
        </w:tc>
      </w:tr>
    </w:tbl>
    <w:p w:rsidR="00170A1A" w:rsidRPr="00BB2924" w:rsidRDefault="00170A1A" w:rsidP="00FC0A30">
      <w:pPr>
        <w:pStyle w:val="HStandard"/>
        <w:rPr>
          <w:highlight w:val="yellow"/>
        </w:rPr>
      </w:pPr>
      <w:r>
        <w:rPr>
          <w:highlight w:val="yellow"/>
        </w:rPr>
        <w:t xml:space="preserve">E lépés részfeladatait az alábbi sorrendben kell végrehajtani: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a.</w:t>
            </w:r>
          </w:p>
        </w:tc>
        <w:tc>
          <w:tcPr>
            <w:tcW w:w="8028" w:type="dxa"/>
          </w:tcPr>
          <w:p w:rsidR="00170A1A" w:rsidRPr="00BB2924" w:rsidRDefault="00170A1A" w:rsidP="00BE6F49">
            <w:pPr>
              <w:pStyle w:val="Hlistbullet"/>
              <w:numPr>
                <w:ilvl w:val="0"/>
                <w:numId w:val="0"/>
              </w:numPr>
              <w:spacing w:before="0" w:line="280" w:lineRule="atLeast"/>
              <w:jc w:val="left"/>
              <w:rPr>
                <w:sz w:val="18"/>
                <w:szCs w:val="18"/>
                <w:highlight w:val="yellow"/>
              </w:rPr>
            </w:pPr>
            <w:r>
              <w:rPr>
                <w:sz w:val="18"/>
                <w:szCs w:val="18"/>
                <w:highlight w:val="yellow"/>
              </w:rPr>
              <w:t>A szükséges adatok és információk áttekintése az NVH-val kapcsolatos mutatók (kimenet, eredmény, hatás) szerint, valamint a kiválasztott értékelési megközelítéssel és módszerekkel összhangban.</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b.</w:t>
            </w:r>
          </w:p>
        </w:tc>
        <w:tc>
          <w:tcPr>
            <w:tcW w:w="8028" w:type="dxa"/>
          </w:tcPr>
          <w:p w:rsidR="00170A1A" w:rsidRPr="00BB2924" w:rsidRDefault="00170A1A" w:rsidP="00BE6F49">
            <w:pPr>
              <w:pStyle w:val="HStandard"/>
              <w:rPr>
                <w:sz w:val="18"/>
                <w:szCs w:val="18"/>
                <w:highlight w:val="yellow"/>
              </w:rPr>
            </w:pPr>
            <w:r>
              <w:rPr>
                <w:sz w:val="18"/>
                <w:szCs w:val="18"/>
                <w:highlight w:val="yellow"/>
              </w:rPr>
              <w:t>Az adat- és információforrások azonosítása, valamint az azok hozzáférhetőségét biztosító megállapodások meghatározása.</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c.</w:t>
            </w:r>
          </w:p>
        </w:tc>
        <w:tc>
          <w:tcPr>
            <w:tcW w:w="8028" w:type="dxa"/>
          </w:tcPr>
          <w:p w:rsidR="00170A1A" w:rsidRPr="00BB2924" w:rsidRDefault="00170A1A" w:rsidP="00BE6F49">
            <w:pPr>
              <w:pStyle w:val="Hlistbullet"/>
              <w:numPr>
                <w:ilvl w:val="0"/>
                <w:numId w:val="0"/>
              </w:numPr>
              <w:spacing w:before="0" w:line="280" w:lineRule="atLeast"/>
              <w:jc w:val="left"/>
              <w:rPr>
                <w:sz w:val="18"/>
                <w:szCs w:val="18"/>
                <w:highlight w:val="yellow"/>
              </w:rPr>
            </w:pPr>
            <w:r>
              <w:rPr>
                <w:sz w:val="18"/>
                <w:szCs w:val="18"/>
                <w:highlight w:val="yellow"/>
              </w:rPr>
              <w:t>A hiányzó adatok azonosítása és a megszerzésük módjának eldöntése (ideértve az értékelőkre vonatkozó rendelkezések megfogalmazását a jövőbeni feladatmeghatározásban).</w:t>
            </w:r>
          </w:p>
        </w:tc>
      </w:tr>
      <w:tr w:rsidR="00170A1A" w:rsidRPr="00BB2924" w:rsidTr="00BE6F49">
        <w:tc>
          <w:tcPr>
            <w:tcW w:w="9016" w:type="dxa"/>
            <w:gridSpan w:val="2"/>
            <w:shd w:val="clear" w:color="auto" w:fill="auto"/>
          </w:tcPr>
          <w:p w:rsidR="00170A1A" w:rsidRPr="00BB2924" w:rsidRDefault="00170A1A" w:rsidP="00BE6F49">
            <w:pPr>
              <w:pStyle w:val="HStandard"/>
              <w:jc w:val="left"/>
              <w:rPr>
                <w:sz w:val="18"/>
                <w:szCs w:val="18"/>
                <w:highlight w:val="yellow"/>
              </w:rPr>
            </w:pPr>
            <w:r>
              <w:rPr>
                <w:b/>
                <w:sz w:val="18"/>
                <w:szCs w:val="18"/>
                <w:highlight w:val="yellow"/>
              </w:rPr>
              <w:t>Várható eredmény:</w:t>
            </w:r>
            <w:r>
              <w:rPr>
                <w:sz w:val="18"/>
                <w:szCs w:val="18"/>
                <w:highlight w:val="yellow"/>
              </w:rPr>
              <w:t xml:space="preserve"> Hozzáférhető meglévő adatforrások, a hiányzó adatok azonosítása és azok megszerzési módszerének eldöntése.</w:t>
            </w:r>
          </w:p>
        </w:tc>
      </w:tr>
    </w:tbl>
    <w:p w:rsidR="00170A1A" w:rsidRPr="00BB2924" w:rsidRDefault="00170A1A" w:rsidP="00FC0A30">
      <w:pPr>
        <w:pStyle w:val="HStandard"/>
        <w:rPr>
          <w:highlight w:val="yellow"/>
        </w:rPr>
      </w:pPr>
      <w:r>
        <w:rPr>
          <w:highlight w:val="yellow"/>
        </w:rPr>
        <w:t>Az NVH-értékelés készítésekor fontos ellenőrizni, hogy milyen adatokra és információkra van szükség a mutatók meghatározásához és az értékelési kérdések megválaszolásához. A gyakorlatban mindig vannak olyan, már meglévő adatok, amelyek összegyűjthetők a VFP monitoringrendszeréből vagy más rendszerekből, ilyenek például:</w:t>
      </w:r>
    </w:p>
    <w:p w:rsidR="00170A1A" w:rsidRPr="00BB2924" w:rsidRDefault="00170A1A" w:rsidP="00D322AA">
      <w:pPr>
        <w:pStyle w:val="Hlistbullet"/>
        <w:rPr>
          <w:highlight w:val="yellow"/>
        </w:rPr>
      </w:pPr>
      <w:r>
        <w:rPr>
          <w:highlight w:val="yellow"/>
        </w:rPr>
        <w:t xml:space="preserve">az NVH erőforrásaival és teljesítményével kapcsolatos monitoringadatok (műveleti adatbázis); </w:t>
      </w:r>
    </w:p>
    <w:p w:rsidR="00170A1A" w:rsidRPr="00BB2924" w:rsidRDefault="00170A1A" w:rsidP="00D322AA">
      <w:pPr>
        <w:pStyle w:val="Hlistbullet"/>
        <w:rPr>
          <w:highlight w:val="yellow"/>
        </w:rPr>
      </w:pPr>
      <w:r>
        <w:rPr>
          <w:highlight w:val="yellow"/>
        </w:rPr>
        <w:t>a HTE belső statisztikai és teljesítménymonitoring-adatai (éves jelentések, eseményekkel és képzésekkel kapcsolatos visszajelzések, az NVH tagjaira vonatkozó információk stb.);</w:t>
      </w:r>
    </w:p>
    <w:p w:rsidR="00170A1A" w:rsidRPr="00BB2924" w:rsidRDefault="00170A1A" w:rsidP="00D322AA">
      <w:pPr>
        <w:pStyle w:val="Hlistbullet"/>
        <w:rPr>
          <w:highlight w:val="yellow"/>
        </w:rPr>
      </w:pPr>
      <w:r>
        <w:rPr>
          <w:highlight w:val="yellow"/>
        </w:rPr>
        <w:t xml:space="preserve">korábban végrehajtott NVH-önértékelésből vagy -értékelésből származó információk. </w:t>
      </w:r>
    </w:p>
    <w:p w:rsidR="00170A1A" w:rsidRPr="00BB2924" w:rsidRDefault="00170A1A" w:rsidP="00FC0A30">
      <w:pPr>
        <w:pStyle w:val="HStandard"/>
        <w:rPr>
          <w:highlight w:val="yellow"/>
        </w:rPr>
      </w:pPr>
      <w:r>
        <w:rPr>
          <w:highlight w:val="yellow"/>
        </w:rPr>
        <w:t>Az NVH-értékelés bizonyítékainak biztosítása érdekében fontos áttekinteni az adat- és információforrásokat, valamint azok hozzáférhetőségét. Néha speciális megállapodásokat kell kötni, hogy a létező adatok és információk hozzáférhetők legyenek. Erről a programért felelős hatóságnak vagy a HTE-nek kell gondoskodnia, különösen olyan esetekben, amikor figyelembe kell venni a személyes adatok védelmére vonatkozó kérdések jogi vonatkozását is (például a magánszemély kedvezményezettek adatai vagy a magánszemély interjúalanyoktól kapott információk esetében).</w:t>
      </w:r>
    </w:p>
    <w:p w:rsidR="00170A1A" w:rsidRPr="00BB2924" w:rsidRDefault="00170A1A" w:rsidP="00FC0A30">
      <w:pPr>
        <w:pStyle w:val="HStandard"/>
        <w:rPr>
          <w:highlight w:val="yellow"/>
        </w:rPr>
      </w:pPr>
      <w:r>
        <w:rPr>
          <w:highlight w:val="yellow"/>
        </w:rPr>
        <w:lastRenderedPageBreak/>
        <w:t xml:space="preserve">A meglévő adatok szűrését az NVH-cselekvésiterv végrehajtásának későbbi szakaszában is megismételhetik az értékelők (lásd az </w:t>
      </w:r>
      <w:r>
        <w:rPr>
          <w:b/>
          <w:color w:val="E7E6E6" w:themeColor="background2"/>
          <w:highlight w:val="yellow"/>
        </w:rPr>
        <w:t>I. rész</w:t>
      </w:r>
      <w:r>
        <w:rPr>
          <w:highlight w:val="yellow"/>
        </w:rPr>
        <w:t xml:space="preserve"> 2.2.2. „Az NVH-értékelés előkészítése” című fejezetét). Ezért fontos, hogy az értékelők hozzáférhessenek minden rendelkezésre álló adathoz az értékelés elkezdésekor. A HTE/irányító hatóság felel azért, hogy az összes rendelkezésre álló adatot az értékelő rendelkezésére bocsássák az értékelés végrehajtása során.</w:t>
      </w:r>
    </w:p>
    <w:p w:rsidR="00170A1A" w:rsidRPr="00BB2924" w:rsidRDefault="00170A1A" w:rsidP="00FC0A30">
      <w:pPr>
        <w:pStyle w:val="HStandard"/>
        <w:rPr>
          <w:highlight w:val="yellow"/>
        </w:rPr>
      </w:pPr>
      <w:r>
        <w:rPr>
          <w:highlight w:val="yellow"/>
        </w:rPr>
        <w:t xml:space="preserve">Különös figyelmet kell fordítani a hiányzó adatokra és információkra, valamint ezek megszerzésének módjára. A megbízó fél (irányító hatóság, HTE) meghatározza, hogy mely adatok és információk szerezhetők meg meglévő forrásokból, például speciális megállapodások révén, illetve mely hiányzó adatokat és információkat kell az értékelőknek összegyűjteniük. Az értékelés költségvetését és a feladatmeghatározást befolyásolja, hogy az irányító hatóságnak és a HTE-nek milyen ismeretei vannak az adatok és információk elérhetőségével, minőségével és hiányosságaival kapcsolatosan. Ez a folyamat továbbá kellő időben figyelmeztetheti az irányító hatóságot az NVH-cselekvésiterv megvalósítása során felmerülő adatokkal kapcsolatos problémák elkerülése érdekében. </w:t>
      </w:r>
    </w:p>
    <w:p w:rsidR="00170A1A" w:rsidRPr="00BB2924" w:rsidRDefault="00170A1A" w:rsidP="00FC0A30">
      <w:pPr>
        <w:pStyle w:val="HHeading5"/>
        <w:rPr>
          <w:highlight w:val="yellow"/>
        </w:rPr>
      </w:pPr>
      <w:r>
        <w:rPr>
          <w:highlight w:val="yellow"/>
        </w:rPr>
        <w:t xml:space="preserve">5. lépés: Pályáztatás és külső értékelő kiválasztása </w:t>
      </w:r>
    </w:p>
    <w:p w:rsidR="00170A1A" w:rsidRPr="00BB2924" w:rsidRDefault="00170A1A" w:rsidP="00FC0A30">
      <w:pPr>
        <w:pStyle w:val="HStandard"/>
        <w:rPr>
          <w:highlight w:val="yellow"/>
        </w:rPr>
      </w:pPr>
      <w:r>
        <w:rPr>
          <w:highlight w:val="yellow"/>
        </w:rPr>
        <w:t xml:space="preserve">A külső értékelő kiválasztásában és szerződéses megbízásában kulcsfontosságú szerepe van a </w:t>
      </w:r>
      <w:r>
        <w:rPr>
          <w:b/>
          <w:highlight w:val="yellow"/>
        </w:rPr>
        <w:t>feladatmeghatározás megfogalmazásának és a pályáztatási eljárásnak.</w:t>
      </w:r>
      <w:r>
        <w:rPr>
          <w:highlight w:val="yellow"/>
        </w:rPr>
        <w:t xml:space="preserve"> Az értékelés tervezésével és előkészítésével kapcsolatos, fent leírt előző lépések határozzák meg annak alapját, hogy mely műveleteket kell az NVH-hatóságoknak előkészíteniük, és melyeket kell az értékelőre hagyni, illetve a feladatmeghatározásba belefoglalni.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2730A3">
        <w:tc>
          <w:tcPr>
            <w:tcW w:w="9016" w:type="dxa"/>
            <w:shd w:val="clear" w:color="auto" w:fill="F5F4F4" w:themeFill="background2" w:themeFillTint="66"/>
          </w:tcPr>
          <w:p w:rsidR="00170A1A" w:rsidRPr="00BB2924" w:rsidRDefault="00170A1A" w:rsidP="00FC0A30">
            <w:pPr>
              <w:pStyle w:val="HStandard"/>
              <w:rPr>
                <w:highlight w:val="yellow"/>
              </w:rPr>
            </w:pPr>
            <w:r>
              <w:rPr>
                <w:highlight w:val="yellow"/>
              </w:rPr>
              <w:t xml:space="preserve">A lépéshez segítséget nyújtó kérdések: </w:t>
            </w:r>
          </w:p>
          <w:p w:rsidR="00170A1A" w:rsidRPr="00BB2924" w:rsidRDefault="00170A1A" w:rsidP="00170A1A">
            <w:pPr>
              <w:pStyle w:val="Hlistbullet"/>
              <w:tabs>
                <w:tab w:val="left" w:pos="567"/>
              </w:tabs>
              <w:rPr>
                <w:highlight w:val="yellow"/>
              </w:rPr>
            </w:pPr>
            <w:r>
              <w:rPr>
                <w:highlight w:val="yellow"/>
              </w:rPr>
              <w:t>Mi az értékelés háttere?</w:t>
            </w:r>
          </w:p>
          <w:p w:rsidR="00170A1A" w:rsidRPr="00BB2924" w:rsidRDefault="00170A1A" w:rsidP="00170A1A">
            <w:pPr>
              <w:pStyle w:val="Hlistbullet"/>
              <w:tabs>
                <w:tab w:val="left" w:pos="567"/>
              </w:tabs>
              <w:rPr>
                <w:highlight w:val="yellow"/>
              </w:rPr>
            </w:pPr>
            <w:r>
              <w:rPr>
                <w:highlight w:val="yellow"/>
              </w:rPr>
              <w:t>Mit értékelnek?</w:t>
            </w:r>
          </w:p>
          <w:p w:rsidR="00170A1A" w:rsidRPr="00BB2924" w:rsidRDefault="00170A1A" w:rsidP="00170A1A">
            <w:pPr>
              <w:pStyle w:val="Hlistbullet"/>
              <w:tabs>
                <w:tab w:val="left" w:pos="567"/>
              </w:tabs>
              <w:rPr>
                <w:highlight w:val="yellow"/>
              </w:rPr>
            </w:pPr>
            <w:r>
              <w:rPr>
                <w:highlight w:val="yellow"/>
              </w:rPr>
              <w:t>Mi az értékelés végrehajtásának célja?</w:t>
            </w:r>
          </w:p>
          <w:p w:rsidR="00170A1A" w:rsidRPr="00BB2924" w:rsidRDefault="00170A1A" w:rsidP="00170A1A">
            <w:pPr>
              <w:pStyle w:val="Hlistbullet"/>
              <w:tabs>
                <w:tab w:val="left" w:pos="567"/>
              </w:tabs>
              <w:rPr>
                <w:highlight w:val="yellow"/>
              </w:rPr>
            </w:pPr>
            <w:r>
              <w:rPr>
                <w:highlight w:val="yellow"/>
              </w:rPr>
              <w:t>Mely kérdéseket kell feltenni?</w:t>
            </w:r>
          </w:p>
          <w:p w:rsidR="00170A1A" w:rsidRPr="00BB2924" w:rsidRDefault="00170A1A" w:rsidP="00170A1A">
            <w:pPr>
              <w:pStyle w:val="Hlistbullet"/>
              <w:tabs>
                <w:tab w:val="left" w:pos="567"/>
              </w:tabs>
              <w:rPr>
                <w:highlight w:val="yellow"/>
              </w:rPr>
            </w:pPr>
            <w:r>
              <w:rPr>
                <w:highlight w:val="yellow"/>
              </w:rPr>
              <w:t>Mit kell az értékelőnek végrehajtania a gyakorlatban?</w:t>
            </w:r>
          </w:p>
          <w:p w:rsidR="00170A1A" w:rsidRPr="00BB2924" w:rsidRDefault="00170A1A" w:rsidP="00170A1A">
            <w:pPr>
              <w:pStyle w:val="Hlistbullet"/>
              <w:tabs>
                <w:tab w:val="left" w:pos="567"/>
              </w:tabs>
              <w:rPr>
                <w:highlight w:val="yellow"/>
              </w:rPr>
            </w:pPr>
            <w:r>
              <w:rPr>
                <w:highlight w:val="yellow"/>
              </w:rPr>
              <w:t>Milyen dokumentumokat/jelentéseket kell az értékelőnek elkészítenie, és mikor?</w:t>
            </w:r>
          </w:p>
          <w:p w:rsidR="00170A1A" w:rsidRPr="00BB2924" w:rsidRDefault="00170A1A" w:rsidP="00170A1A">
            <w:pPr>
              <w:pStyle w:val="Hlistbullet"/>
              <w:tabs>
                <w:tab w:val="left" w:pos="567"/>
              </w:tabs>
              <w:rPr>
                <w:highlight w:val="yellow"/>
              </w:rPr>
            </w:pPr>
            <w:r>
              <w:rPr>
                <w:highlight w:val="yellow"/>
              </w:rPr>
              <w:t xml:space="preserve">Hogyan kell végrehajtani az értékelést? </w:t>
            </w:r>
          </w:p>
          <w:p w:rsidR="00170A1A" w:rsidRPr="00BB2924" w:rsidRDefault="00170A1A" w:rsidP="00170A1A">
            <w:pPr>
              <w:pStyle w:val="Hlistbullet"/>
              <w:tabs>
                <w:tab w:val="left" w:pos="567"/>
              </w:tabs>
              <w:rPr>
                <w:highlight w:val="yellow"/>
              </w:rPr>
            </w:pPr>
            <w:r>
              <w:rPr>
                <w:highlight w:val="yellow"/>
              </w:rPr>
              <w:t>Milyen adatok és információk állnak rendelkezésre?</w:t>
            </w:r>
          </w:p>
          <w:p w:rsidR="00170A1A" w:rsidRPr="00BB2924" w:rsidRDefault="00170A1A" w:rsidP="00170A1A">
            <w:pPr>
              <w:pStyle w:val="Hlistbullet"/>
              <w:tabs>
                <w:tab w:val="left" w:pos="567"/>
              </w:tabs>
              <w:rPr>
                <w:highlight w:val="yellow"/>
              </w:rPr>
            </w:pPr>
            <w:r>
              <w:rPr>
                <w:highlight w:val="yellow"/>
              </w:rPr>
              <w:t xml:space="preserve">Milyen további adatokat és információkat kell összegyűjteni? </w:t>
            </w:r>
          </w:p>
          <w:p w:rsidR="00170A1A" w:rsidRPr="00BB2924" w:rsidRDefault="00170A1A" w:rsidP="00170A1A">
            <w:pPr>
              <w:pStyle w:val="Hlistbullet"/>
              <w:tabs>
                <w:tab w:val="left" w:pos="567"/>
              </w:tabs>
              <w:rPr>
                <w:highlight w:val="yellow"/>
              </w:rPr>
            </w:pPr>
            <w:r>
              <w:rPr>
                <w:highlight w:val="yellow"/>
              </w:rPr>
              <w:t>Melyek az értékelőre vonatkozó követelmények?</w:t>
            </w:r>
          </w:p>
          <w:p w:rsidR="00170A1A" w:rsidRPr="00BB2924" w:rsidRDefault="00170A1A" w:rsidP="00170A1A">
            <w:pPr>
              <w:pStyle w:val="Hlistbullet2"/>
              <w:tabs>
                <w:tab w:val="left" w:pos="567"/>
              </w:tabs>
              <w:rPr>
                <w:highlight w:val="yellow"/>
              </w:rPr>
            </w:pPr>
            <w:r>
              <w:rPr>
                <w:highlight w:val="yellow"/>
              </w:rPr>
              <w:t>Hogyan történik az értékelő kiválasztása?</w:t>
            </w:r>
          </w:p>
          <w:p w:rsidR="00170A1A" w:rsidRPr="00BB2924" w:rsidRDefault="00170A1A" w:rsidP="00170A1A">
            <w:pPr>
              <w:pStyle w:val="Hlistbullet"/>
              <w:tabs>
                <w:tab w:val="left" w:pos="567"/>
              </w:tabs>
              <w:rPr>
                <w:highlight w:val="yellow"/>
              </w:rPr>
            </w:pPr>
            <w:r>
              <w:rPr>
                <w:highlight w:val="yellow"/>
              </w:rPr>
              <w:t>A pénzügyi és humánerőforrások elegendők-e a kívánt értékelés végrehajtására?</w:t>
            </w:r>
          </w:p>
          <w:p w:rsidR="00170A1A" w:rsidRPr="00BB2924" w:rsidRDefault="00170A1A" w:rsidP="00170A1A">
            <w:pPr>
              <w:pStyle w:val="Hlistbullet"/>
              <w:tabs>
                <w:tab w:val="left" w:pos="567"/>
              </w:tabs>
              <w:rPr>
                <w:highlight w:val="yellow"/>
              </w:rPr>
            </w:pPr>
            <w:r>
              <w:rPr>
                <w:highlight w:val="yellow"/>
              </w:rPr>
              <w:t>Reális-e az időkeret? Az egyes lépések végrehajtására elegendő időt határoztak meg? Biztosítottak időt az előre nem látható események és problémák kezelésére?</w:t>
            </w:r>
          </w:p>
          <w:p w:rsidR="00170A1A" w:rsidRPr="00BB2924" w:rsidRDefault="00170A1A" w:rsidP="00170A1A">
            <w:pPr>
              <w:pStyle w:val="Hlistbullet2"/>
              <w:tabs>
                <w:tab w:val="left" w:pos="567"/>
              </w:tabs>
              <w:rPr>
                <w:highlight w:val="yellow"/>
              </w:rPr>
            </w:pPr>
            <w:r>
              <w:rPr>
                <w:highlight w:val="yellow"/>
              </w:rPr>
              <w:t>Mi a legmegfelelőbb pályáztatási eljárás a szóban forgó NVH-értékeléshez?</w:t>
            </w:r>
          </w:p>
        </w:tc>
      </w:tr>
    </w:tbl>
    <w:p w:rsidR="00170A1A" w:rsidRPr="00BB2924" w:rsidRDefault="00170A1A" w:rsidP="00FC0A30">
      <w:pPr>
        <w:pStyle w:val="HStandard"/>
        <w:rPr>
          <w:highlight w:val="yellow"/>
        </w:rPr>
      </w:pPr>
      <w:r>
        <w:rPr>
          <w:highlight w:val="yellow"/>
        </w:rPr>
        <w:t xml:space="preserve">E lépés részfeladatait az alábbi sorrendben kell végrehajtani: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a.</w:t>
            </w:r>
          </w:p>
        </w:tc>
        <w:tc>
          <w:tcPr>
            <w:tcW w:w="8028" w:type="dxa"/>
          </w:tcPr>
          <w:p w:rsidR="00170A1A" w:rsidRPr="00BB2924" w:rsidRDefault="00170A1A" w:rsidP="00BE6F49">
            <w:pPr>
              <w:pStyle w:val="Hlistbullet"/>
              <w:numPr>
                <w:ilvl w:val="0"/>
                <w:numId w:val="0"/>
              </w:numPr>
              <w:spacing w:before="0" w:line="280" w:lineRule="atLeast"/>
              <w:jc w:val="left"/>
              <w:rPr>
                <w:sz w:val="18"/>
                <w:szCs w:val="18"/>
                <w:highlight w:val="yellow"/>
              </w:rPr>
            </w:pPr>
            <w:r>
              <w:rPr>
                <w:sz w:val="18"/>
                <w:szCs w:val="18"/>
                <w:highlight w:val="yellow"/>
              </w:rPr>
              <w:t>A feladatmeghatározás elkészítése a külső értékeléshez.</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b.</w:t>
            </w:r>
          </w:p>
        </w:tc>
        <w:tc>
          <w:tcPr>
            <w:tcW w:w="8028" w:type="dxa"/>
          </w:tcPr>
          <w:p w:rsidR="00170A1A" w:rsidRPr="00BB2924" w:rsidRDefault="00170A1A" w:rsidP="00BE6F49">
            <w:pPr>
              <w:pStyle w:val="HStandard"/>
              <w:rPr>
                <w:sz w:val="18"/>
                <w:szCs w:val="18"/>
                <w:highlight w:val="yellow"/>
              </w:rPr>
            </w:pPr>
            <w:r>
              <w:rPr>
                <w:sz w:val="18"/>
                <w:szCs w:val="18"/>
                <w:highlight w:val="yellow"/>
              </w:rPr>
              <w:t>Az értékelés tervezésének és előkészítésének alapjául szolgáló erőforrások elosztása a külső értékeléshez.</w:t>
            </w:r>
          </w:p>
        </w:tc>
      </w:tr>
      <w:tr w:rsidR="00170A1A" w:rsidRPr="00BB2924" w:rsidTr="00BE6F49">
        <w:tc>
          <w:tcPr>
            <w:tcW w:w="988" w:type="dxa"/>
            <w:shd w:val="clear" w:color="auto" w:fill="E7E6E6" w:themeFill="background2"/>
          </w:tcPr>
          <w:p w:rsidR="00170A1A" w:rsidRPr="00BB2924" w:rsidRDefault="00170A1A" w:rsidP="00BE6F49">
            <w:pPr>
              <w:pStyle w:val="HStandard"/>
              <w:jc w:val="center"/>
              <w:rPr>
                <w:b/>
                <w:color w:val="FFFFFF"/>
                <w:sz w:val="18"/>
                <w:szCs w:val="18"/>
                <w:highlight w:val="yellow"/>
              </w:rPr>
            </w:pPr>
            <w:r>
              <w:rPr>
                <w:b/>
                <w:color w:val="FFFFFF"/>
                <w:sz w:val="18"/>
                <w:szCs w:val="18"/>
                <w:highlight w:val="yellow"/>
              </w:rPr>
              <w:t>c.</w:t>
            </w:r>
          </w:p>
        </w:tc>
        <w:tc>
          <w:tcPr>
            <w:tcW w:w="8028" w:type="dxa"/>
          </w:tcPr>
          <w:p w:rsidR="00170A1A" w:rsidRPr="00BB2924" w:rsidRDefault="00170A1A" w:rsidP="00BE6F49">
            <w:pPr>
              <w:pStyle w:val="Hlistbullet"/>
              <w:numPr>
                <w:ilvl w:val="0"/>
                <w:numId w:val="0"/>
              </w:numPr>
              <w:spacing w:before="0" w:line="280" w:lineRule="atLeast"/>
              <w:jc w:val="left"/>
              <w:rPr>
                <w:sz w:val="18"/>
                <w:szCs w:val="18"/>
                <w:highlight w:val="yellow"/>
              </w:rPr>
            </w:pPr>
            <w:r>
              <w:rPr>
                <w:sz w:val="18"/>
                <w:szCs w:val="18"/>
                <w:highlight w:val="yellow"/>
              </w:rPr>
              <w:t>A pályáztatási eljárás előkészítése és lebonyolítása.</w:t>
            </w:r>
          </w:p>
        </w:tc>
      </w:tr>
      <w:tr w:rsidR="00170A1A" w:rsidRPr="00BB2924" w:rsidTr="00BE6F49">
        <w:tc>
          <w:tcPr>
            <w:tcW w:w="9016" w:type="dxa"/>
            <w:gridSpan w:val="2"/>
            <w:shd w:val="clear" w:color="auto" w:fill="auto"/>
          </w:tcPr>
          <w:p w:rsidR="00170A1A" w:rsidRPr="00BB2924" w:rsidRDefault="00170A1A" w:rsidP="00BE6F49">
            <w:pPr>
              <w:pStyle w:val="HStandard"/>
              <w:jc w:val="left"/>
              <w:rPr>
                <w:sz w:val="18"/>
                <w:szCs w:val="18"/>
                <w:highlight w:val="yellow"/>
              </w:rPr>
            </w:pPr>
            <w:r>
              <w:rPr>
                <w:b/>
                <w:sz w:val="18"/>
                <w:szCs w:val="18"/>
                <w:highlight w:val="yellow"/>
              </w:rPr>
              <w:t>Várt eredmény:</w:t>
            </w:r>
            <w:r>
              <w:rPr>
                <w:sz w:val="18"/>
                <w:szCs w:val="18"/>
                <w:highlight w:val="yellow"/>
              </w:rPr>
              <w:t xml:space="preserve"> a külső értékelő kiválasztása.</w:t>
            </w:r>
          </w:p>
        </w:tc>
      </w:tr>
    </w:tbl>
    <w:p w:rsidR="00170A1A" w:rsidRPr="00BB2924" w:rsidRDefault="00170A1A" w:rsidP="00FC0A30">
      <w:pPr>
        <w:pStyle w:val="HStandard"/>
        <w:rPr>
          <w:highlight w:val="yellow"/>
        </w:rPr>
      </w:pPr>
      <w:r>
        <w:rPr>
          <w:highlight w:val="yellow"/>
        </w:rPr>
        <w:lastRenderedPageBreak/>
        <w:t>A megbízó fél (irányító hatóság, HTE) felel a feladatmeghatározás felvázolásáért és azért, hogy az illeszkedjen a szóban forgó NVH-hoz. Az értékelésirányító csoport segíthet a megbízó félnek a feladatok meghatározásában és felvázolásában, amennyiben az irányító hatóság értékelési felhatalmazást ad az irányító csoportnak.</w:t>
      </w:r>
    </w:p>
    <w:p w:rsidR="00170A1A" w:rsidRPr="00BB2924" w:rsidRDefault="00170A1A" w:rsidP="00FC0A30">
      <w:pPr>
        <w:pStyle w:val="HHeadingboxes"/>
        <w:rPr>
          <w:highlight w:val="yellow"/>
        </w:rPr>
      </w:pPr>
      <w:bookmarkStart w:id="105" w:name="_Toc390439635"/>
      <w:bookmarkStart w:id="106" w:name="_Toc464410822"/>
      <w:r>
        <w:rPr>
          <w:highlight w:val="yellow"/>
        </w:rPr>
        <w:t>Értékelési felhatalmazás</w:t>
      </w:r>
      <w:bookmarkEnd w:id="105"/>
      <w:bookmarkEnd w:id="106"/>
    </w:p>
    <w:p w:rsidR="00170A1A" w:rsidRPr="00BB2924" w:rsidRDefault="00170A1A"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 xml:space="preserve">Amennyiben az irányító hatóság értékelésirányító csoport alkalmazása mellett dönt, a feladatmeghatározás megfogalmazása előtt ajánlatos értékelési felhatalmazást készíteni. Az értékelési felhatalmazás a végrehajtandó értékelés rövid és általános leírását tartalmazó dokumentum. Meghatározza az értékelés terjedelmét (mit fognak értékelni?), az összefüggéseket és indokokat (mi az értékelés háttere és indítéka?), a felelősségi köröket és az ütemezést (hogyan milyen ütemterv szerint történik a munka megszervezése), valamint a célkitűzéseket (mi az értékelés várható felhasználása?). Az értékelési felhatalmazás útmutatást nyújt a feladatmeghatározás elkészítéséhez, valamint az értékelésirányító csoport munkaprogramjához. </w:t>
      </w:r>
    </w:p>
    <w:p w:rsidR="00170A1A" w:rsidRPr="00BB2924" w:rsidRDefault="00170A1A"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A rendszerint az irányító hatóság által kezdeményezett és jóváhagyott értékelési felhatalmazás megfogalmazásában az értékelésirányító csoport segít az irányító hatóságnak.</w:t>
      </w:r>
    </w:p>
    <w:p w:rsidR="00170A1A" w:rsidRPr="00BB2924" w:rsidRDefault="00170A1A" w:rsidP="00FC0A30">
      <w:pPr>
        <w:pStyle w:val="HStandard"/>
        <w:rPr>
          <w:highlight w:val="yellow"/>
        </w:rPr>
      </w:pPr>
      <w:r>
        <w:rPr>
          <w:highlight w:val="yellow"/>
        </w:rPr>
        <w:t xml:space="preserve">A feladatmeghatározásnak ki kell fejtenie az NVH megvalósításának fontosságát, és figyelembe kell vennie az NVH értékelési költségvetésének méretét. Tartalmaznia kell továbbá az értékelés eredetének, hatókörének és célkitűzéseinek leírását, valamint a szerepek és feladatkörök egyértelmű elosztását. A feladatmeghatározásnak fel kell sorolnia a megválaszolandó értékelési kérdéseket, és le kell írnia a külső értékelők által végrehajtandó feladatokat és tevékenységeket. Emellett a már meglévő információforrásokat is meg kell neveznie. A jó feladatmeghatározásnak tartalmaznia kell az értékelő kiválasztásának kritériumait, valamint a zárójelentés minőségértékelési kritériumait is. </w:t>
      </w:r>
    </w:p>
    <w:p w:rsidR="00170A1A" w:rsidRPr="00BB2924" w:rsidRDefault="00170A1A" w:rsidP="00FC0A30">
      <w:pPr>
        <w:pStyle w:val="HStandard"/>
        <w:rPr>
          <w:highlight w:val="yellow"/>
        </w:rPr>
      </w:pPr>
      <w:r>
        <w:rPr>
          <w:highlight w:val="yellow"/>
        </w:rPr>
        <w:t>A feladatmeghatározás tartalmára vonatkozóan nincsenek jogi követelmények. Alább ismertetjük a bevált gyakorlatot tükröző főbb javasolt elemeket</w:t>
      </w:r>
      <w:r>
        <w:rPr>
          <w:rFonts w:ascii="ZWAdobeF" w:hAnsi="ZWAdobeF"/>
          <w:color w:val="auto"/>
          <w:sz w:val="2"/>
          <w:szCs w:val="2"/>
          <w:highlight w:val="yellow"/>
        </w:rPr>
        <w:t>81F</w:t>
      </w:r>
      <w:r w:rsidRPr="00BB2924">
        <w:rPr>
          <w:rStyle w:val="FootnoteReference"/>
          <w:highlight w:val="yellow"/>
        </w:rPr>
        <w:footnoteReference w:id="82"/>
      </w:r>
      <w:r>
        <w:rPr>
          <w:highlight w:val="yellow"/>
        </w:rPr>
        <w:t xml:space="preserve">: </w:t>
      </w:r>
    </w:p>
    <w:p w:rsidR="00170A1A" w:rsidRPr="00BB2924" w:rsidRDefault="00170A1A" w:rsidP="001413F0">
      <w:pPr>
        <w:pStyle w:val="Hlistbullet"/>
        <w:rPr>
          <w:highlight w:val="yellow"/>
        </w:rPr>
      </w:pPr>
      <w:r>
        <w:rPr>
          <w:highlight w:val="yellow"/>
        </w:rPr>
        <w:t>összefüggések (az értékelés célja, célkitűzései és indokolása);</w:t>
      </w:r>
    </w:p>
    <w:p w:rsidR="00170A1A" w:rsidRPr="00BB2924" w:rsidRDefault="00170A1A" w:rsidP="001413F0">
      <w:pPr>
        <w:pStyle w:val="Hlistbullet"/>
        <w:rPr>
          <w:highlight w:val="yellow"/>
        </w:rPr>
      </w:pPr>
      <w:r>
        <w:rPr>
          <w:highlight w:val="yellow"/>
        </w:rPr>
        <w:t>az értékelés hatóköre;</w:t>
      </w:r>
    </w:p>
    <w:p w:rsidR="00170A1A" w:rsidRPr="00BB2924" w:rsidRDefault="00170A1A" w:rsidP="001413F0">
      <w:pPr>
        <w:pStyle w:val="Hlistbullet"/>
        <w:rPr>
          <w:highlight w:val="yellow"/>
        </w:rPr>
      </w:pPr>
      <w:r>
        <w:rPr>
          <w:highlight w:val="yellow"/>
        </w:rPr>
        <w:t>az értékelés célkitűzései;</w:t>
      </w:r>
    </w:p>
    <w:p w:rsidR="00170A1A" w:rsidRPr="00BB2924" w:rsidRDefault="00170A1A" w:rsidP="001413F0">
      <w:pPr>
        <w:pStyle w:val="Hlistbullet"/>
        <w:rPr>
          <w:highlight w:val="yellow"/>
        </w:rPr>
      </w:pPr>
      <w:r>
        <w:rPr>
          <w:highlight w:val="yellow"/>
        </w:rPr>
        <w:t>értékelési kérdések;</w:t>
      </w:r>
    </w:p>
    <w:p w:rsidR="00170A1A" w:rsidRPr="00BB2924" w:rsidRDefault="00170A1A" w:rsidP="001413F0">
      <w:pPr>
        <w:pStyle w:val="Hlistbullet"/>
        <w:rPr>
          <w:highlight w:val="yellow"/>
        </w:rPr>
      </w:pPr>
      <w:r>
        <w:rPr>
          <w:highlight w:val="yellow"/>
        </w:rPr>
        <w:t>elvégzendő feladatok;</w:t>
      </w:r>
    </w:p>
    <w:p w:rsidR="00170A1A" w:rsidRPr="00BB2924" w:rsidRDefault="00170A1A" w:rsidP="001413F0">
      <w:pPr>
        <w:pStyle w:val="Hlistbullet"/>
        <w:rPr>
          <w:highlight w:val="yellow"/>
        </w:rPr>
      </w:pPr>
      <w:r>
        <w:rPr>
          <w:highlight w:val="yellow"/>
        </w:rPr>
        <w:t>a benyújtandó dokumentumok ütemezése és tartalma;</w:t>
      </w:r>
    </w:p>
    <w:p w:rsidR="00170A1A" w:rsidRPr="00BB2924" w:rsidRDefault="00170A1A" w:rsidP="001413F0">
      <w:pPr>
        <w:pStyle w:val="Hlistbullet"/>
        <w:rPr>
          <w:highlight w:val="yellow"/>
        </w:rPr>
      </w:pPr>
      <w:r>
        <w:rPr>
          <w:highlight w:val="yellow"/>
        </w:rPr>
        <w:t>a munka megszervezése;</w:t>
      </w:r>
    </w:p>
    <w:p w:rsidR="00170A1A" w:rsidRPr="00BB2924" w:rsidRDefault="00170A1A" w:rsidP="001413F0">
      <w:pPr>
        <w:pStyle w:val="Hlistbullet"/>
        <w:rPr>
          <w:highlight w:val="yellow"/>
        </w:rPr>
      </w:pPr>
      <w:r>
        <w:rPr>
          <w:highlight w:val="yellow"/>
        </w:rPr>
        <w:t>források és dokumentáció;</w:t>
      </w:r>
    </w:p>
    <w:p w:rsidR="00170A1A" w:rsidRPr="00BB2924" w:rsidRDefault="00170A1A" w:rsidP="001413F0">
      <w:pPr>
        <w:pStyle w:val="Hlistbullet"/>
        <w:rPr>
          <w:highlight w:val="yellow"/>
        </w:rPr>
      </w:pPr>
      <w:r>
        <w:rPr>
          <w:highlight w:val="yellow"/>
        </w:rPr>
        <w:t xml:space="preserve">pályáztatási eljárások és szerződéses kikötések. Ez tartalmazni fogja az értékelő kiválasztásának kritériumait, úgymint: </w:t>
      </w:r>
    </w:p>
    <w:p w:rsidR="00170A1A" w:rsidRPr="00BB2924" w:rsidRDefault="00170A1A" w:rsidP="00892664">
      <w:pPr>
        <w:pStyle w:val="Hlistbullet2"/>
        <w:numPr>
          <w:ilvl w:val="1"/>
          <w:numId w:val="16"/>
        </w:numPr>
        <w:tabs>
          <w:tab w:val="left" w:pos="567"/>
        </w:tabs>
        <w:rPr>
          <w:highlight w:val="yellow"/>
        </w:rPr>
      </w:pPr>
      <w:r>
        <w:rPr>
          <w:highlight w:val="yellow"/>
        </w:rPr>
        <w:t xml:space="preserve">az értékelő elvárt profilja, ideértve a képzettséget, a meglévő (többéves) tapasztalatot az értékelés terén, valamint a meglévő jelentésekhez kapcsolódó referenciákat és kapcsolatokat, </w:t>
      </w:r>
    </w:p>
    <w:p w:rsidR="00170A1A" w:rsidRPr="00BB2924" w:rsidRDefault="00170A1A" w:rsidP="00892664">
      <w:pPr>
        <w:pStyle w:val="Hlistbullet2"/>
        <w:numPr>
          <w:ilvl w:val="1"/>
          <w:numId w:val="16"/>
        </w:numPr>
        <w:tabs>
          <w:tab w:val="left" w:pos="567"/>
        </w:tabs>
        <w:rPr>
          <w:highlight w:val="yellow"/>
        </w:rPr>
      </w:pPr>
      <w:r>
        <w:rPr>
          <w:highlight w:val="yellow"/>
        </w:rPr>
        <w:t xml:space="preserve">a javasolt értékelési megközelítés és módszerek, </w:t>
      </w:r>
    </w:p>
    <w:p w:rsidR="00170A1A" w:rsidRPr="00BB2924" w:rsidRDefault="00170A1A" w:rsidP="00892664">
      <w:pPr>
        <w:pStyle w:val="Hlistbullet2"/>
        <w:numPr>
          <w:ilvl w:val="1"/>
          <w:numId w:val="16"/>
        </w:numPr>
        <w:tabs>
          <w:tab w:val="left" w:pos="567"/>
        </w:tabs>
        <w:rPr>
          <w:highlight w:val="yellow"/>
        </w:rPr>
      </w:pPr>
      <w:r>
        <w:rPr>
          <w:highlight w:val="yellow"/>
        </w:rPr>
        <w:t>az adatokkal és információkkal kapcsolatos követelmények, az értékelő által összegyűjtendő adatok megnevezése,</w:t>
      </w:r>
    </w:p>
    <w:p w:rsidR="00170A1A" w:rsidRPr="00BB2924" w:rsidRDefault="00170A1A" w:rsidP="00892664">
      <w:pPr>
        <w:pStyle w:val="Hlistbullet2"/>
        <w:numPr>
          <w:ilvl w:val="1"/>
          <w:numId w:val="16"/>
        </w:numPr>
        <w:tabs>
          <w:tab w:val="left" w:pos="567"/>
        </w:tabs>
        <w:rPr>
          <w:highlight w:val="yellow"/>
        </w:rPr>
      </w:pPr>
      <w:r>
        <w:rPr>
          <w:highlight w:val="yellow"/>
        </w:rPr>
        <w:t>az értékelés javasolt költségvetése,</w:t>
      </w:r>
    </w:p>
    <w:p w:rsidR="00170A1A" w:rsidRPr="00BB2924" w:rsidRDefault="00170A1A" w:rsidP="00892664">
      <w:pPr>
        <w:pStyle w:val="Hlistbullet2"/>
        <w:numPr>
          <w:ilvl w:val="1"/>
          <w:numId w:val="16"/>
        </w:numPr>
        <w:tabs>
          <w:tab w:val="left" w:pos="567"/>
        </w:tabs>
        <w:rPr>
          <w:highlight w:val="yellow"/>
        </w:rPr>
      </w:pPr>
      <w:r>
        <w:rPr>
          <w:highlight w:val="yellow"/>
        </w:rPr>
        <w:lastRenderedPageBreak/>
        <w:t>a zárójelentés minőségértékelési kritériumai</w:t>
      </w:r>
    </w:p>
    <w:p w:rsidR="00170A1A" w:rsidRPr="00BB2924" w:rsidRDefault="00170A1A" w:rsidP="00892664">
      <w:pPr>
        <w:pStyle w:val="Hlistbullet2"/>
        <w:numPr>
          <w:ilvl w:val="1"/>
          <w:numId w:val="16"/>
        </w:numPr>
        <w:tabs>
          <w:tab w:val="left" w:pos="567"/>
        </w:tabs>
        <w:rPr>
          <w:highlight w:val="yellow"/>
        </w:rPr>
      </w:pPr>
      <w:r>
        <w:rPr>
          <w:highlight w:val="yellow"/>
        </w:rPr>
        <w:t>stb.</w:t>
      </w:r>
    </w:p>
    <w:p w:rsidR="00170A1A" w:rsidRPr="00BB2924" w:rsidRDefault="00170A1A" w:rsidP="00FC0A30">
      <w:pPr>
        <w:pStyle w:val="HStandard"/>
        <w:rPr>
          <w:highlight w:val="yellow"/>
        </w:rPr>
      </w:pPr>
      <w:r>
        <w:rPr>
          <w:highlight w:val="yellow"/>
        </w:rPr>
        <w:t>A feladatmeghatározásban teret kell hagyni az értékelőnek az értékelési megközelítésre/tervezésre és módszerekre vonatkozó – a szükséges adatokra és információkra is kiterjedő – javaslattételhez. Az értékelés szerkezete meghatározásának egyik első lépése a feladatmeghatározás felvázolása. A szerkezet meghatározásának folyamatát ezután a kiválasztott értékelő folytatja.</w:t>
      </w:r>
    </w:p>
    <w:p w:rsidR="00170A1A" w:rsidRPr="00BB2924" w:rsidRDefault="00170A1A" w:rsidP="00FC0A30">
      <w:pPr>
        <w:pStyle w:val="HStandard"/>
        <w:rPr>
          <w:highlight w:val="yellow"/>
        </w:rPr>
      </w:pPr>
      <w:r>
        <w:rPr>
          <w:highlight w:val="yellow"/>
        </w:rPr>
        <w:t xml:space="preserve">Fontos, hogy a megbízó fél (az irányító hatóság vagy a HTE) </w:t>
      </w:r>
      <w:r>
        <w:rPr>
          <w:b/>
          <w:highlight w:val="yellow"/>
        </w:rPr>
        <w:t>elegendő és megfelelő pénzügyi és humánerőforrást különítsen el és biztosítson</w:t>
      </w:r>
      <w:r>
        <w:rPr>
          <w:highlight w:val="yellow"/>
        </w:rPr>
        <w:t xml:space="preserve"> (az irányító hatóság munkatársainak és az értékelőknek a kapacitásai és jártassága, a rendelkezésre álló adatok és információk stb. terén) az értékelés lebonyolításához, továbbá elég időt hagyjon az értékelési folyamat és az egyes lépések végrehajtására. A pályázat kiírása előtt fontos továbbá egyértelmű szabályokat és eljárásokat meghatározni az értékelő és a felelős irányító szervek számára. </w:t>
      </w:r>
    </w:p>
    <w:p w:rsidR="00170A1A" w:rsidRPr="00BB2924" w:rsidRDefault="00170A1A" w:rsidP="001413F0">
      <w:pPr>
        <w:pStyle w:val="HStandard"/>
        <w:rPr>
          <w:highlight w:val="yellow"/>
        </w:rPr>
      </w:pPr>
      <w:r>
        <w:rPr>
          <w:highlight w:val="yellow"/>
        </w:rPr>
        <w:t xml:space="preserve">Végül a megbízó félnek (irányító hatóságnak vagy HTE-nek) ki kell választania a </w:t>
      </w:r>
      <w:r>
        <w:rPr>
          <w:b/>
          <w:highlight w:val="yellow"/>
        </w:rPr>
        <w:t>pályáztatási eljárást.</w:t>
      </w:r>
      <w:r>
        <w:rPr>
          <w:highlight w:val="yellow"/>
        </w:rPr>
        <w:t xml:space="preserve"> Ez az értékelő megbízása érdekében alkalmazott konkrét megközelítéstől függ (egyszeri nyílt pályázati felhívás, keretbizottság létrehozása, közvetlen szerződéskötés). Mindegyik esetben alapvető fontosságú az adott pályáztatási eljárás feltételeinek betartása. Az ajánlati felhívás előtt lényeges gondoskodni arról, hogy a pályáztatás összes jogi követelményét betartsák. Amennyiben az irányító hatóságnak hosszú távú értékelési szerződése van egy adott értékelővel, az NVH- értékelést meg kell említeni az erre az értékelőre vonatkozó eredeti pályázatban és szerződésben ahhoz, hogy további pályázat nélkül végrehajthassák az értékelést. Máskülönben a vonatkozó közbeszerzési eljárásokat kell követni.</w:t>
      </w:r>
    </w:p>
    <w:p w:rsidR="00170A1A" w:rsidRPr="00BB2924" w:rsidRDefault="00170A1A" w:rsidP="00922CBE">
      <w:pPr>
        <w:pStyle w:val="HHeadingfigures"/>
        <w:rPr>
          <w:noProof/>
          <w:highlight w:val="yellow"/>
        </w:rPr>
      </w:pPr>
      <w:bookmarkStart w:id="107" w:name="_Toc445465131"/>
      <w:bookmarkStart w:id="108" w:name="_Toc464410819"/>
      <w:r>
        <w:rPr>
          <w:highlight w:val="yellow"/>
        </w:rPr>
        <w:t>Az érdekeltek felelősségi körei az NVH-értékelés előkészítésében</w:t>
      </w:r>
      <w:bookmarkEnd w:id="107"/>
      <w:bookmarkEnd w:id="108"/>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170A1A" w:rsidRPr="00BB2924" w:rsidTr="001413F0">
        <w:trPr>
          <w:trHeight w:val="497"/>
        </w:trPr>
        <w:tc>
          <w:tcPr>
            <w:tcW w:w="746" w:type="dxa"/>
            <w:tcBorders>
              <w:top w:val="nil"/>
              <w:left w:val="nil"/>
              <w:bottom w:val="single" w:sz="4" w:space="0" w:color="000000" w:themeColor="text1"/>
            </w:tcBorders>
          </w:tcPr>
          <w:p w:rsidR="00170A1A" w:rsidRPr="00BB2924" w:rsidRDefault="00170A1A" w:rsidP="001413F0">
            <w:pPr>
              <w:jc w:val="center"/>
              <w:rPr>
                <w:rFonts w:cs="Arial"/>
                <w:b/>
                <w:szCs w:val="18"/>
                <w:highlight w:val="yellow"/>
              </w:rPr>
            </w:pPr>
          </w:p>
        </w:tc>
        <w:tc>
          <w:tcPr>
            <w:tcW w:w="1742" w:type="dxa"/>
            <w:shd w:val="clear" w:color="auto" w:fill="E7E6E6" w:themeFill="background2"/>
          </w:tcPr>
          <w:p w:rsidR="00170A1A" w:rsidRPr="00BB2924" w:rsidRDefault="00170A1A" w:rsidP="001413F0">
            <w:pPr>
              <w:jc w:val="center"/>
              <w:rPr>
                <w:rFonts w:cs="Arial"/>
                <w:b/>
                <w:color w:val="5B9BD5" w:themeColor="accent1"/>
                <w:szCs w:val="18"/>
                <w:highlight w:val="yellow"/>
              </w:rPr>
            </w:pPr>
            <w:r>
              <w:rPr>
                <w:b/>
                <w:color w:val="5B9BD5" w:themeColor="accent1"/>
                <w:szCs w:val="18"/>
                <w:highlight w:val="yellow"/>
              </w:rPr>
              <w:t>Intézkedések</w:t>
            </w:r>
          </w:p>
        </w:tc>
        <w:tc>
          <w:tcPr>
            <w:tcW w:w="6574" w:type="dxa"/>
            <w:gridSpan w:val="4"/>
            <w:shd w:val="clear" w:color="auto" w:fill="E7E6E6" w:themeFill="background2"/>
          </w:tcPr>
          <w:p w:rsidR="00170A1A" w:rsidRPr="00BB2924" w:rsidRDefault="00170A1A" w:rsidP="001413F0">
            <w:pPr>
              <w:jc w:val="center"/>
              <w:rPr>
                <w:rFonts w:cs="Arial"/>
                <w:b/>
                <w:i/>
                <w:color w:val="5B9BD5" w:themeColor="accent1"/>
                <w:szCs w:val="18"/>
                <w:highlight w:val="yellow"/>
              </w:rPr>
            </w:pPr>
            <w:r>
              <w:rPr>
                <w:b/>
                <w:color w:val="5B9BD5" w:themeColor="accent1"/>
                <w:szCs w:val="18"/>
                <w:highlight w:val="yellow"/>
              </w:rPr>
              <w:t>Szereplők</w:t>
            </w:r>
          </w:p>
        </w:tc>
      </w:tr>
      <w:tr w:rsidR="00170A1A" w:rsidRPr="00BB2924" w:rsidTr="001413F0">
        <w:trPr>
          <w:cantSplit/>
          <w:trHeight w:val="1134"/>
        </w:trPr>
        <w:tc>
          <w:tcPr>
            <w:tcW w:w="746" w:type="dxa"/>
            <w:shd w:val="clear" w:color="auto" w:fill="E7E6E6" w:themeFill="background2"/>
            <w:textDirection w:val="tbRl"/>
          </w:tcPr>
          <w:p w:rsidR="00170A1A" w:rsidRPr="00BB2924" w:rsidRDefault="00170A1A" w:rsidP="001413F0">
            <w:pPr>
              <w:jc w:val="center"/>
              <w:rPr>
                <w:rFonts w:cs="Arial"/>
                <w:b/>
                <w:color w:val="5B9BD5" w:themeColor="accent1"/>
                <w:szCs w:val="18"/>
                <w:highlight w:val="yellow"/>
              </w:rPr>
            </w:pPr>
            <w:r>
              <w:rPr>
                <w:b/>
                <w:color w:val="5B9BD5" w:themeColor="accent1"/>
                <w:szCs w:val="18"/>
                <w:highlight w:val="yellow"/>
              </w:rPr>
              <w:t>Szakasz</w:t>
            </w:r>
          </w:p>
        </w:tc>
        <w:tc>
          <w:tcPr>
            <w:tcW w:w="1742" w:type="dxa"/>
          </w:tcPr>
          <w:p w:rsidR="00170A1A" w:rsidRPr="00BB2924" w:rsidRDefault="00170A1A" w:rsidP="001413F0">
            <w:pPr>
              <w:rPr>
                <w:rFonts w:cs="Arial"/>
                <w:b/>
                <w:color w:val="E7E6E6" w:themeColor="background2"/>
                <w:szCs w:val="18"/>
                <w:highlight w:val="yellow"/>
              </w:rPr>
            </w:pPr>
            <w:r>
              <w:rPr>
                <w:b/>
                <w:color w:val="E7E6E6" w:themeColor="background2"/>
                <w:szCs w:val="18"/>
                <w:highlight w:val="yellow"/>
              </w:rPr>
              <w:t>Lépés</w:t>
            </w:r>
          </w:p>
        </w:tc>
        <w:tc>
          <w:tcPr>
            <w:tcW w:w="1555" w:type="dxa"/>
          </w:tcPr>
          <w:p w:rsidR="00170A1A" w:rsidRPr="00BB2924" w:rsidRDefault="00170A1A" w:rsidP="001413F0">
            <w:pPr>
              <w:rPr>
                <w:rFonts w:cs="Arial"/>
                <w:i/>
                <w:szCs w:val="18"/>
                <w:highlight w:val="yellow"/>
              </w:rPr>
            </w:pPr>
            <w:r>
              <w:rPr>
                <w:i/>
                <w:szCs w:val="18"/>
                <w:highlight w:val="yellow"/>
              </w:rPr>
              <w:t>Irányító hatóság</w:t>
            </w:r>
          </w:p>
        </w:tc>
        <w:tc>
          <w:tcPr>
            <w:tcW w:w="1484" w:type="dxa"/>
          </w:tcPr>
          <w:p w:rsidR="00170A1A" w:rsidRPr="00BB2924" w:rsidRDefault="00170A1A" w:rsidP="001413F0">
            <w:pPr>
              <w:rPr>
                <w:rFonts w:cs="Arial"/>
                <w:i/>
                <w:szCs w:val="18"/>
                <w:highlight w:val="yellow"/>
              </w:rPr>
            </w:pPr>
            <w:r>
              <w:rPr>
                <w:i/>
                <w:szCs w:val="18"/>
                <w:highlight w:val="yellow"/>
              </w:rPr>
              <w:t>Az irányító hatóság más egységei</w:t>
            </w:r>
          </w:p>
        </w:tc>
        <w:tc>
          <w:tcPr>
            <w:tcW w:w="2036" w:type="dxa"/>
          </w:tcPr>
          <w:p w:rsidR="00170A1A" w:rsidRPr="00BB2924" w:rsidRDefault="00170A1A" w:rsidP="001413F0">
            <w:pPr>
              <w:rPr>
                <w:rFonts w:cs="Arial"/>
                <w:i/>
                <w:szCs w:val="18"/>
                <w:highlight w:val="yellow"/>
              </w:rPr>
            </w:pPr>
            <w:r>
              <w:rPr>
                <w:i/>
                <w:szCs w:val="18"/>
                <w:highlight w:val="yellow"/>
              </w:rPr>
              <w:t>HTE</w:t>
            </w:r>
          </w:p>
        </w:tc>
        <w:tc>
          <w:tcPr>
            <w:tcW w:w="1499" w:type="dxa"/>
          </w:tcPr>
          <w:p w:rsidR="00170A1A" w:rsidRPr="00BB2924" w:rsidRDefault="00170A1A" w:rsidP="001413F0">
            <w:pPr>
              <w:rPr>
                <w:rFonts w:cs="Arial"/>
                <w:i/>
                <w:szCs w:val="18"/>
                <w:highlight w:val="yellow"/>
              </w:rPr>
            </w:pPr>
            <w:r>
              <w:rPr>
                <w:i/>
                <w:szCs w:val="18"/>
                <w:highlight w:val="yellow"/>
              </w:rPr>
              <w:t>Egyéb résztvevők</w:t>
            </w:r>
          </w:p>
        </w:tc>
      </w:tr>
      <w:tr w:rsidR="00170A1A" w:rsidRPr="00BB2924" w:rsidTr="001413F0">
        <w:tc>
          <w:tcPr>
            <w:tcW w:w="746" w:type="dxa"/>
            <w:vMerge w:val="restart"/>
            <w:shd w:val="clear" w:color="auto" w:fill="E7E6E6" w:themeFill="background2"/>
            <w:textDirection w:val="tbRl"/>
          </w:tcPr>
          <w:p w:rsidR="00170A1A" w:rsidRPr="00BB2924" w:rsidRDefault="00170A1A" w:rsidP="001413F0">
            <w:pPr>
              <w:jc w:val="center"/>
              <w:rPr>
                <w:rFonts w:cs="Arial"/>
                <w:b/>
                <w:color w:val="5B9BD5" w:themeColor="accent1"/>
                <w:szCs w:val="18"/>
                <w:highlight w:val="yellow"/>
              </w:rPr>
            </w:pPr>
            <w:r>
              <w:rPr>
                <w:b/>
                <w:color w:val="5B9BD5" w:themeColor="accent1"/>
                <w:szCs w:val="18"/>
                <w:highlight w:val="yellow"/>
              </w:rPr>
              <w:t>Előkészítés</w:t>
            </w:r>
          </w:p>
        </w:tc>
        <w:tc>
          <w:tcPr>
            <w:tcW w:w="1742" w:type="dxa"/>
          </w:tcPr>
          <w:p w:rsidR="00170A1A" w:rsidRPr="00BB2924" w:rsidRDefault="00170A1A" w:rsidP="001413F0">
            <w:pPr>
              <w:rPr>
                <w:rFonts w:cs="Arial"/>
                <w:b/>
                <w:color w:val="E7E6E6" w:themeColor="background2"/>
                <w:szCs w:val="18"/>
                <w:highlight w:val="yellow"/>
              </w:rPr>
            </w:pPr>
            <w:r>
              <w:rPr>
                <w:b/>
                <w:color w:val="E7E6E6" w:themeColor="background2"/>
                <w:szCs w:val="18"/>
                <w:highlight w:val="yellow"/>
              </w:rPr>
              <w:t>Beavatkozási logika kidolgozása</w:t>
            </w:r>
          </w:p>
        </w:tc>
        <w:tc>
          <w:tcPr>
            <w:tcW w:w="1555" w:type="dxa"/>
          </w:tcPr>
          <w:p w:rsidR="00170A1A" w:rsidRPr="00BB2924" w:rsidRDefault="00170A1A" w:rsidP="001413F0">
            <w:pPr>
              <w:rPr>
                <w:rFonts w:cs="Arial"/>
                <w:szCs w:val="18"/>
                <w:highlight w:val="yellow"/>
              </w:rPr>
            </w:pPr>
            <w:r>
              <w:rPr>
                <w:szCs w:val="18"/>
                <w:highlight w:val="yellow"/>
              </w:rPr>
              <w:t>Felelős/résztvevő</w:t>
            </w:r>
          </w:p>
        </w:tc>
        <w:tc>
          <w:tcPr>
            <w:tcW w:w="1484" w:type="dxa"/>
          </w:tcPr>
          <w:p w:rsidR="00170A1A" w:rsidRPr="00BB2924" w:rsidRDefault="00170A1A" w:rsidP="001413F0">
            <w:pPr>
              <w:rPr>
                <w:rFonts w:cs="Arial"/>
                <w:szCs w:val="18"/>
                <w:highlight w:val="yellow"/>
              </w:rPr>
            </w:pPr>
            <w:r>
              <w:rPr>
                <w:szCs w:val="18"/>
                <w:highlight w:val="yellow"/>
              </w:rPr>
              <w:t>Ha van értékelési egység, segítséget nyújthat</w:t>
            </w:r>
          </w:p>
        </w:tc>
        <w:tc>
          <w:tcPr>
            <w:tcW w:w="2036" w:type="dxa"/>
          </w:tcPr>
          <w:p w:rsidR="00170A1A" w:rsidRPr="00BB2924" w:rsidRDefault="00170A1A" w:rsidP="001413F0">
            <w:pPr>
              <w:rPr>
                <w:rFonts w:cs="Arial"/>
                <w:szCs w:val="18"/>
                <w:highlight w:val="yellow"/>
              </w:rPr>
            </w:pPr>
            <w:r>
              <w:rPr>
                <w:szCs w:val="18"/>
                <w:highlight w:val="yellow"/>
              </w:rPr>
              <w:t>Résztvevő/felelős</w:t>
            </w:r>
          </w:p>
        </w:tc>
        <w:tc>
          <w:tcPr>
            <w:tcW w:w="1499" w:type="dxa"/>
          </w:tcPr>
          <w:p w:rsidR="00170A1A" w:rsidRPr="00BB2924" w:rsidRDefault="00170A1A" w:rsidP="001413F0">
            <w:pPr>
              <w:rPr>
                <w:rFonts w:cs="Arial"/>
                <w:szCs w:val="18"/>
                <w:highlight w:val="yellow"/>
              </w:rPr>
            </w:pPr>
          </w:p>
        </w:tc>
      </w:tr>
      <w:tr w:rsidR="00170A1A" w:rsidRPr="00BB2924" w:rsidTr="001413F0">
        <w:tc>
          <w:tcPr>
            <w:tcW w:w="746" w:type="dxa"/>
            <w:vMerge/>
            <w:shd w:val="clear" w:color="auto" w:fill="E7E6E6" w:themeFill="background2"/>
            <w:textDirection w:val="tbRl"/>
          </w:tcPr>
          <w:p w:rsidR="00170A1A" w:rsidRPr="00BB2924" w:rsidRDefault="00170A1A" w:rsidP="00FC0A30">
            <w:pPr>
              <w:rPr>
                <w:rFonts w:cs="Arial"/>
                <w:b/>
                <w:szCs w:val="18"/>
                <w:highlight w:val="yellow"/>
              </w:rPr>
            </w:pPr>
          </w:p>
        </w:tc>
        <w:tc>
          <w:tcPr>
            <w:tcW w:w="1742" w:type="dxa"/>
          </w:tcPr>
          <w:p w:rsidR="00170A1A" w:rsidRPr="00BB2924" w:rsidRDefault="00170A1A" w:rsidP="001413F0">
            <w:pPr>
              <w:rPr>
                <w:rFonts w:cs="Arial"/>
                <w:b/>
                <w:color w:val="E7E6E6" w:themeColor="background2"/>
                <w:szCs w:val="18"/>
                <w:highlight w:val="yellow"/>
              </w:rPr>
            </w:pPr>
            <w:r>
              <w:rPr>
                <w:b/>
                <w:color w:val="E7E6E6" w:themeColor="background2"/>
                <w:szCs w:val="18"/>
                <w:highlight w:val="yellow"/>
              </w:rPr>
              <w:t>Értékelési kérdések és mutatók</w:t>
            </w:r>
          </w:p>
        </w:tc>
        <w:tc>
          <w:tcPr>
            <w:tcW w:w="1555" w:type="dxa"/>
          </w:tcPr>
          <w:p w:rsidR="00170A1A" w:rsidRPr="00BB2924" w:rsidRDefault="00170A1A" w:rsidP="001413F0">
            <w:pPr>
              <w:rPr>
                <w:rFonts w:cs="Arial"/>
                <w:szCs w:val="18"/>
                <w:highlight w:val="yellow"/>
              </w:rPr>
            </w:pPr>
            <w:r>
              <w:rPr>
                <w:szCs w:val="18"/>
                <w:highlight w:val="yellow"/>
              </w:rPr>
              <w:t>Felelős/résztvevő</w:t>
            </w:r>
          </w:p>
        </w:tc>
        <w:tc>
          <w:tcPr>
            <w:tcW w:w="1484" w:type="dxa"/>
          </w:tcPr>
          <w:p w:rsidR="00170A1A" w:rsidRPr="00BB2924" w:rsidRDefault="00170A1A" w:rsidP="001413F0">
            <w:pPr>
              <w:rPr>
                <w:rFonts w:cs="Arial"/>
                <w:szCs w:val="18"/>
                <w:highlight w:val="yellow"/>
              </w:rPr>
            </w:pPr>
            <w:r>
              <w:rPr>
                <w:szCs w:val="18"/>
                <w:highlight w:val="yellow"/>
              </w:rPr>
              <w:t>Ha van értékelési egység, segítséget nyújthat</w:t>
            </w:r>
          </w:p>
        </w:tc>
        <w:tc>
          <w:tcPr>
            <w:tcW w:w="2036" w:type="dxa"/>
          </w:tcPr>
          <w:p w:rsidR="00170A1A" w:rsidRPr="00BB2924" w:rsidRDefault="00170A1A" w:rsidP="001413F0">
            <w:pPr>
              <w:rPr>
                <w:rFonts w:cs="Arial"/>
                <w:szCs w:val="18"/>
                <w:highlight w:val="yellow"/>
              </w:rPr>
            </w:pPr>
            <w:r>
              <w:rPr>
                <w:szCs w:val="18"/>
                <w:highlight w:val="yellow"/>
              </w:rPr>
              <w:t>Résztvevő/felelős</w:t>
            </w:r>
          </w:p>
        </w:tc>
        <w:tc>
          <w:tcPr>
            <w:tcW w:w="1499" w:type="dxa"/>
          </w:tcPr>
          <w:p w:rsidR="00170A1A" w:rsidRPr="00BB2924" w:rsidRDefault="00170A1A" w:rsidP="001413F0">
            <w:pPr>
              <w:rPr>
                <w:rFonts w:cs="Arial"/>
                <w:szCs w:val="18"/>
                <w:highlight w:val="yellow"/>
              </w:rPr>
            </w:pPr>
            <w:r>
              <w:rPr>
                <w:szCs w:val="18"/>
                <w:highlight w:val="yellow"/>
              </w:rPr>
              <w:t>Adott esetben részt vesz az irányító csoport</w:t>
            </w:r>
          </w:p>
        </w:tc>
      </w:tr>
      <w:tr w:rsidR="00170A1A" w:rsidRPr="00BB2924" w:rsidTr="001413F0">
        <w:tc>
          <w:tcPr>
            <w:tcW w:w="746" w:type="dxa"/>
            <w:vMerge/>
            <w:shd w:val="clear" w:color="auto" w:fill="E7E6E6" w:themeFill="background2"/>
            <w:textDirection w:val="tbRl"/>
          </w:tcPr>
          <w:p w:rsidR="00170A1A" w:rsidRPr="00BB2924" w:rsidRDefault="00170A1A" w:rsidP="00FC0A30">
            <w:pPr>
              <w:rPr>
                <w:rFonts w:cs="Arial"/>
                <w:b/>
                <w:szCs w:val="18"/>
                <w:highlight w:val="yellow"/>
              </w:rPr>
            </w:pPr>
          </w:p>
        </w:tc>
        <w:tc>
          <w:tcPr>
            <w:tcW w:w="1742" w:type="dxa"/>
          </w:tcPr>
          <w:p w:rsidR="00170A1A" w:rsidRPr="00BB2924" w:rsidRDefault="00170A1A" w:rsidP="001413F0">
            <w:pPr>
              <w:rPr>
                <w:rFonts w:cs="Arial"/>
                <w:b/>
                <w:color w:val="E7E6E6" w:themeColor="background2"/>
                <w:szCs w:val="18"/>
                <w:highlight w:val="yellow"/>
              </w:rPr>
            </w:pPr>
            <w:r>
              <w:rPr>
                <w:b/>
                <w:color w:val="E7E6E6" w:themeColor="background2"/>
                <w:szCs w:val="18"/>
                <w:highlight w:val="yellow"/>
              </w:rPr>
              <w:t>Értékelési megközelítés</w:t>
            </w:r>
          </w:p>
        </w:tc>
        <w:tc>
          <w:tcPr>
            <w:tcW w:w="1555" w:type="dxa"/>
          </w:tcPr>
          <w:p w:rsidR="00170A1A" w:rsidRPr="00BB2924" w:rsidRDefault="00170A1A" w:rsidP="001413F0">
            <w:pPr>
              <w:rPr>
                <w:rFonts w:cs="Arial"/>
                <w:szCs w:val="18"/>
                <w:highlight w:val="yellow"/>
              </w:rPr>
            </w:pPr>
            <w:r>
              <w:rPr>
                <w:szCs w:val="18"/>
                <w:highlight w:val="yellow"/>
              </w:rPr>
              <w:t>Felelős/résztvevő</w:t>
            </w:r>
          </w:p>
        </w:tc>
        <w:tc>
          <w:tcPr>
            <w:tcW w:w="1484" w:type="dxa"/>
          </w:tcPr>
          <w:p w:rsidR="00170A1A" w:rsidRPr="00BB2924" w:rsidRDefault="00170A1A" w:rsidP="001413F0">
            <w:pPr>
              <w:rPr>
                <w:rFonts w:cs="Arial"/>
                <w:szCs w:val="18"/>
                <w:highlight w:val="yellow"/>
              </w:rPr>
            </w:pPr>
            <w:r>
              <w:rPr>
                <w:szCs w:val="18"/>
                <w:highlight w:val="yellow"/>
              </w:rPr>
              <w:t>Ha van értékelési egység, segítséget nyújthat</w:t>
            </w:r>
          </w:p>
        </w:tc>
        <w:tc>
          <w:tcPr>
            <w:tcW w:w="2036" w:type="dxa"/>
          </w:tcPr>
          <w:p w:rsidR="00170A1A" w:rsidRPr="00BB2924" w:rsidRDefault="00170A1A" w:rsidP="001413F0">
            <w:pPr>
              <w:rPr>
                <w:rFonts w:cs="Arial"/>
                <w:szCs w:val="18"/>
                <w:highlight w:val="yellow"/>
              </w:rPr>
            </w:pPr>
            <w:r>
              <w:rPr>
                <w:szCs w:val="18"/>
                <w:highlight w:val="yellow"/>
              </w:rPr>
              <w:t>Résztvevő/felelős</w:t>
            </w:r>
          </w:p>
        </w:tc>
        <w:tc>
          <w:tcPr>
            <w:tcW w:w="1499" w:type="dxa"/>
          </w:tcPr>
          <w:p w:rsidR="00170A1A" w:rsidRPr="00BB2924" w:rsidRDefault="00170A1A" w:rsidP="001413F0">
            <w:pPr>
              <w:rPr>
                <w:rFonts w:cs="Arial"/>
                <w:szCs w:val="18"/>
                <w:highlight w:val="yellow"/>
              </w:rPr>
            </w:pPr>
            <w:r>
              <w:rPr>
                <w:szCs w:val="18"/>
                <w:highlight w:val="yellow"/>
              </w:rPr>
              <w:t>Adott esetben részt vesz az irányító csoport</w:t>
            </w:r>
          </w:p>
        </w:tc>
      </w:tr>
      <w:tr w:rsidR="00170A1A" w:rsidRPr="00BB2924" w:rsidTr="001413F0">
        <w:tc>
          <w:tcPr>
            <w:tcW w:w="746" w:type="dxa"/>
            <w:vMerge/>
            <w:shd w:val="clear" w:color="auto" w:fill="E7E6E6" w:themeFill="background2"/>
            <w:textDirection w:val="tbRl"/>
          </w:tcPr>
          <w:p w:rsidR="00170A1A" w:rsidRPr="00BB2924" w:rsidRDefault="00170A1A" w:rsidP="00FC0A30">
            <w:pPr>
              <w:rPr>
                <w:rFonts w:cs="Arial"/>
                <w:b/>
                <w:szCs w:val="18"/>
                <w:highlight w:val="yellow"/>
              </w:rPr>
            </w:pPr>
          </w:p>
        </w:tc>
        <w:tc>
          <w:tcPr>
            <w:tcW w:w="1742" w:type="dxa"/>
          </w:tcPr>
          <w:p w:rsidR="00170A1A" w:rsidRPr="00BB2924" w:rsidRDefault="00170A1A" w:rsidP="001413F0">
            <w:pPr>
              <w:rPr>
                <w:rFonts w:cs="Arial"/>
                <w:b/>
                <w:color w:val="E7E6E6" w:themeColor="background2"/>
                <w:szCs w:val="18"/>
                <w:highlight w:val="yellow"/>
              </w:rPr>
            </w:pPr>
            <w:r>
              <w:rPr>
                <w:b/>
                <w:color w:val="E7E6E6" w:themeColor="background2"/>
                <w:szCs w:val="18"/>
                <w:highlight w:val="yellow"/>
              </w:rPr>
              <w:t>Információ- és adatforrások szűrése</w:t>
            </w:r>
          </w:p>
        </w:tc>
        <w:tc>
          <w:tcPr>
            <w:tcW w:w="1555" w:type="dxa"/>
          </w:tcPr>
          <w:p w:rsidR="00170A1A" w:rsidRPr="00BB2924" w:rsidRDefault="00170A1A" w:rsidP="001413F0">
            <w:pPr>
              <w:rPr>
                <w:rFonts w:cs="Arial"/>
                <w:szCs w:val="18"/>
                <w:highlight w:val="yellow"/>
              </w:rPr>
            </w:pPr>
            <w:r>
              <w:rPr>
                <w:szCs w:val="18"/>
                <w:highlight w:val="yellow"/>
              </w:rPr>
              <w:t>Felelős/résztvevő</w:t>
            </w:r>
          </w:p>
        </w:tc>
        <w:tc>
          <w:tcPr>
            <w:tcW w:w="1484" w:type="dxa"/>
          </w:tcPr>
          <w:p w:rsidR="00170A1A" w:rsidRPr="00BB2924" w:rsidRDefault="00170A1A" w:rsidP="001413F0">
            <w:pPr>
              <w:rPr>
                <w:rFonts w:cs="Arial"/>
                <w:szCs w:val="18"/>
                <w:highlight w:val="yellow"/>
              </w:rPr>
            </w:pPr>
            <w:r>
              <w:rPr>
                <w:szCs w:val="18"/>
                <w:highlight w:val="yellow"/>
              </w:rPr>
              <w:t>Ha van értékelési egység, segítséget nyújthat</w:t>
            </w:r>
          </w:p>
        </w:tc>
        <w:tc>
          <w:tcPr>
            <w:tcW w:w="2036" w:type="dxa"/>
          </w:tcPr>
          <w:p w:rsidR="00170A1A" w:rsidRPr="00BB2924" w:rsidRDefault="00170A1A" w:rsidP="001413F0">
            <w:pPr>
              <w:rPr>
                <w:rFonts w:cs="Arial"/>
                <w:szCs w:val="18"/>
                <w:highlight w:val="yellow"/>
              </w:rPr>
            </w:pPr>
            <w:r>
              <w:rPr>
                <w:szCs w:val="18"/>
                <w:highlight w:val="yellow"/>
              </w:rPr>
              <w:t>Résztvevő/felelős, a HTE adatainak és információinak szűrése</w:t>
            </w:r>
          </w:p>
        </w:tc>
        <w:tc>
          <w:tcPr>
            <w:tcW w:w="1499" w:type="dxa"/>
          </w:tcPr>
          <w:p w:rsidR="00170A1A" w:rsidRPr="00BB2924" w:rsidRDefault="00170A1A" w:rsidP="001413F0">
            <w:pPr>
              <w:rPr>
                <w:rFonts w:cs="Arial"/>
                <w:szCs w:val="18"/>
                <w:highlight w:val="yellow"/>
              </w:rPr>
            </w:pPr>
            <w:r>
              <w:rPr>
                <w:szCs w:val="18"/>
                <w:highlight w:val="yellow"/>
              </w:rPr>
              <w:t>Kifizető ügynökségi adatszolgáltatás</w:t>
            </w:r>
          </w:p>
        </w:tc>
      </w:tr>
      <w:tr w:rsidR="00170A1A" w:rsidRPr="00BB2924" w:rsidTr="001413F0">
        <w:tc>
          <w:tcPr>
            <w:tcW w:w="746" w:type="dxa"/>
            <w:vMerge/>
            <w:shd w:val="clear" w:color="auto" w:fill="E7E6E6" w:themeFill="background2"/>
            <w:textDirection w:val="tbRl"/>
          </w:tcPr>
          <w:p w:rsidR="00170A1A" w:rsidRPr="00BB2924" w:rsidRDefault="00170A1A" w:rsidP="00FC0A30">
            <w:pPr>
              <w:rPr>
                <w:rFonts w:cs="Arial"/>
                <w:b/>
                <w:szCs w:val="18"/>
                <w:highlight w:val="yellow"/>
              </w:rPr>
            </w:pPr>
          </w:p>
        </w:tc>
        <w:tc>
          <w:tcPr>
            <w:tcW w:w="1742" w:type="dxa"/>
          </w:tcPr>
          <w:p w:rsidR="00170A1A" w:rsidRPr="00BB2924" w:rsidRDefault="00170A1A" w:rsidP="001413F0">
            <w:pPr>
              <w:rPr>
                <w:rFonts w:cs="Arial"/>
                <w:b/>
                <w:color w:val="E7E6E6" w:themeColor="background2"/>
                <w:szCs w:val="18"/>
                <w:highlight w:val="yellow"/>
              </w:rPr>
            </w:pPr>
            <w:r>
              <w:rPr>
                <w:b/>
                <w:color w:val="E7E6E6" w:themeColor="background2"/>
                <w:szCs w:val="18"/>
                <w:highlight w:val="yellow"/>
              </w:rPr>
              <w:t>Pályáztatás és az értékelő kiválasztása</w:t>
            </w:r>
          </w:p>
        </w:tc>
        <w:tc>
          <w:tcPr>
            <w:tcW w:w="1555" w:type="dxa"/>
          </w:tcPr>
          <w:p w:rsidR="00170A1A" w:rsidRPr="00BB2924" w:rsidRDefault="00170A1A" w:rsidP="001413F0">
            <w:pPr>
              <w:rPr>
                <w:rFonts w:cs="Arial"/>
                <w:szCs w:val="18"/>
                <w:highlight w:val="yellow"/>
              </w:rPr>
            </w:pPr>
            <w:r>
              <w:rPr>
                <w:szCs w:val="18"/>
                <w:highlight w:val="yellow"/>
              </w:rPr>
              <w:t>Felelős/résztvevő</w:t>
            </w:r>
          </w:p>
        </w:tc>
        <w:tc>
          <w:tcPr>
            <w:tcW w:w="1484" w:type="dxa"/>
          </w:tcPr>
          <w:p w:rsidR="00170A1A" w:rsidRPr="00BB2924" w:rsidRDefault="00170A1A" w:rsidP="001413F0">
            <w:pPr>
              <w:rPr>
                <w:rFonts w:cs="Arial"/>
                <w:szCs w:val="18"/>
                <w:highlight w:val="yellow"/>
              </w:rPr>
            </w:pPr>
            <w:r>
              <w:rPr>
                <w:szCs w:val="18"/>
                <w:highlight w:val="yellow"/>
              </w:rPr>
              <w:t>Ha van értékelési egység, segítséget nyújthat</w:t>
            </w:r>
          </w:p>
        </w:tc>
        <w:tc>
          <w:tcPr>
            <w:tcW w:w="2036" w:type="dxa"/>
          </w:tcPr>
          <w:p w:rsidR="00170A1A" w:rsidRPr="00BB2924" w:rsidRDefault="00170A1A" w:rsidP="001413F0">
            <w:pPr>
              <w:rPr>
                <w:rFonts w:cs="Arial"/>
                <w:szCs w:val="18"/>
                <w:highlight w:val="yellow"/>
              </w:rPr>
            </w:pPr>
            <w:r>
              <w:rPr>
                <w:szCs w:val="18"/>
                <w:highlight w:val="yellow"/>
              </w:rPr>
              <w:t>Résztvevő/felelős</w:t>
            </w:r>
          </w:p>
        </w:tc>
        <w:tc>
          <w:tcPr>
            <w:tcW w:w="1499" w:type="dxa"/>
          </w:tcPr>
          <w:p w:rsidR="00170A1A" w:rsidRPr="00BB2924" w:rsidRDefault="00170A1A" w:rsidP="001413F0">
            <w:pPr>
              <w:rPr>
                <w:rFonts w:cs="Arial"/>
                <w:szCs w:val="18"/>
                <w:highlight w:val="yellow"/>
              </w:rPr>
            </w:pPr>
            <w:r>
              <w:rPr>
                <w:szCs w:val="18"/>
                <w:highlight w:val="yellow"/>
              </w:rPr>
              <w:t>Adott esetben az irányító csoport támogató szerepben</w:t>
            </w:r>
          </w:p>
        </w:tc>
      </w:tr>
    </w:tbl>
    <w:p w:rsidR="00170A1A" w:rsidRPr="00BB2924" w:rsidRDefault="00170A1A" w:rsidP="001B4E97">
      <w:pPr>
        <w:pStyle w:val="HHeading3"/>
        <w:rPr>
          <w:highlight w:val="yellow"/>
        </w:rPr>
      </w:pPr>
      <w:r>
        <w:rPr>
          <w:highlight w:val="yellow"/>
        </w:rPr>
        <w:t xml:space="preserve"> </w:t>
      </w:r>
      <w:bookmarkStart w:id="109" w:name="_Toc464410793"/>
      <w:r>
        <w:rPr>
          <w:highlight w:val="yellow"/>
        </w:rPr>
        <w:t>Az értékelés végrehajtása</w:t>
      </w:r>
      <w:bookmarkEnd w:id="109"/>
    </w:p>
    <w:p w:rsidR="00170A1A" w:rsidRPr="00BB2924" w:rsidRDefault="00170A1A" w:rsidP="006D3475">
      <w:pPr>
        <w:pStyle w:val="HHeading5"/>
        <w:rPr>
          <w:highlight w:val="yellow"/>
        </w:rPr>
      </w:pPr>
      <w:r>
        <w:rPr>
          <w:highlight w:val="yellow"/>
        </w:rPr>
        <w:t>1. lépés: Az értékelés lebonyolítása</w:t>
      </w:r>
    </w:p>
    <w:p w:rsidR="00170A1A" w:rsidRPr="00BB2924" w:rsidRDefault="00170A1A" w:rsidP="001B4E97">
      <w:pPr>
        <w:pStyle w:val="HStandard"/>
        <w:rPr>
          <w:highlight w:val="yellow"/>
        </w:rPr>
      </w:pPr>
      <w:r>
        <w:rPr>
          <w:highlight w:val="yellow"/>
        </w:rPr>
        <w:t xml:space="preserve">A pályáztatási eljárás után megtörténik a szerződés odaítélése, és az értékelő elkezdheti a munkát. Noha ebben a szakaszban a feladatok nagy részét az értékelő végzi, a megbízó fél (irányító hatóság vagy HTE) és adott esetben az értékelésirányító csoport segítséget nyújt az értékelőnek (például hozzáférést biztosít az összes meglévő adathoz és információhoz, tájékoztatja az érdekelteket a kiválasztott értékelőről, és meghívja az értékelőt a vonatkozó gyűlésekre), hogy nyílt és rendszeres kommunikációval, a jelentések véleményezésével, valamint az adatok és interjúalanyok elérhetőségének biztosításával gondoskodjanak az értékelés jó minőségéről annak minden szakaszában. </w:t>
      </w:r>
    </w:p>
    <w:p w:rsidR="00170A1A" w:rsidRPr="00BB2924" w:rsidRDefault="00170A1A" w:rsidP="001B4E97">
      <w:pPr>
        <w:pStyle w:val="HStandard"/>
        <w:rPr>
          <w:highlight w:val="yellow"/>
        </w:rPr>
      </w:pPr>
      <w:r>
        <w:rPr>
          <w:highlight w:val="yellow"/>
        </w:rPr>
        <w:t>Az irányító hatóság, a kifizető ügynökség, a közreműködő szervezetek, a HACS-k, a hálózat egyéb tagjai és kedvezményezettjei fontos szerepet játszanak a megfigyelési szakaszban, mivel ők teszik hozzáférhetővé az információkat és adatokat az értékelő számára. Ezért fontos, hogy a kedvezményezettek jelentkezési lapjai megfelelő jóváhagyó nyilatkozatot tartalmazzanak arra vonatkozólag, hogy adataik felhasználhatók kutatási és elemzési célokra, hogy azok rendelkezésre álljanak az értékeléshez. Ezt már a program megvalósításának kezdetén be kell tervezni</w:t>
      </w:r>
      <w:r>
        <w:rPr>
          <w:rFonts w:ascii="ZWAdobeF" w:hAnsi="ZWAdobeF"/>
          <w:color w:val="auto"/>
          <w:sz w:val="2"/>
          <w:szCs w:val="2"/>
          <w:highlight w:val="yellow"/>
        </w:rPr>
        <w:t>82F</w:t>
      </w:r>
      <w:r w:rsidRPr="00BB2924">
        <w:rPr>
          <w:rStyle w:val="FootnoteReference"/>
          <w:highlight w:val="yellow"/>
        </w:rPr>
        <w:footnoteReference w:id="83"/>
      </w:r>
      <w:r>
        <w:rPr>
          <w:highlight w:val="yellow"/>
        </w:rPr>
        <w:t xml:space="preserve">. </w:t>
      </w:r>
    </w:p>
    <w:p w:rsidR="00170A1A" w:rsidRPr="00BB2924" w:rsidRDefault="00170A1A" w:rsidP="001B4E97">
      <w:pPr>
        <w:pStyle w:val="HStandard"/>
        <w:rPr>
          <w:highlight w:val="yellow"/>
        </w:rPr>
      </w:pPr>
      <w:r>
        <w:rPr>
          <w:highlight w:val="yellow"/>
        </w:rPr>
        <w:t xml:space="preserve">Az értékelést általában négy szakaszban hajtják végre: szerkezet meghatározása, megfigyelés, elemzés és elbírálás. </w:t>
      </w:r>
    </w:p>
    <w:p w:rsidR="00170A1A" w:rsidRPr="00BB2924" w:rsidRDefault="00170A1A" w:rsidP="001B4E97">
      <w:pPr>
        <w:pStyle w:val="HStandard"/>
        <w:rPr>
          <w:highlight w:val="yellow"/>
        </w:rPr>
      </w:pPr>
      <w:r>
        <w:rPr>
          <w:highlight w:val="yellow"/>
        </w:rPr>
        <w:t xml:space="preserve">A </w:t>
      </w:r>
      <w:r>
        <w:rPr>
          <w:b/>
          <w:highlight w:val="yellow"/>
        </w:rPr>
        <w:t>szerkezet meghatározásának szakaszában</w:t>
      </w:r>
      <w:r>
        <w:rPr>
          <w:highlight w:val="yellow"/>
        </w:rPr>
        <w:t xml:space="preserve"> az értékelő megvizsgálja a dokumentumokat, és pontosan meghatározza az elvégzendő feladatot. A szakasz végére az értékelőnek pontos ismeretekkel kell rendelkeznie a szóban forgó NVH-ról, annak beavatkozási logikájáról, tagjairól és tevékenységeiről, valamint az értékelési kérdésekről, mutatókról és értékelési feladatokról. A szerkezet meghatározásának szakaszában az értékelőnek először át kell tekintenie a beavatkozási logikát, majd meg kell ítélnie az értékelési kérdések és a célkitűzések, mutatók közötti konzisztenciát, továbbá adott esetben megfelelő indokolással további értékelési kérdéseket kell javasolnia. Ebben a szakaszban határozzák meg az értékeléshez használt módszereket és eszközöket, valamint az értékelő által ismert és hozzáférhető adat- és információforrásokat. Az értékelőnek azzal is tisztában kell lennie, hogy mely további adatokat és információkat kell összegyűjtenie. Ebben a szakaszban javasolt a munkatervet, kockázatértékelést – többek között az esetleges terepmunka eszközeit – részletező munkaindító jelentés készítése.</w:t>
      </w:r>
    </w:p>
    <w:p w:rsidR="00170A1A" w:rsidRPr="00BB2924" w:rsidRDefault="00170A1A" w:rsidP="001B4E97">
      <w:pPr>
        <w:pStyle w:val="HStandard"/>
        <w:rPr>
          <w:highlight w:val="yellow"/>
        </w:rPr>
      </w:pPr>
      <w:r>
        <w:rPr>
          <w:highlight w:val="yellow"/>
        </w:rPr>
        <w:t xml:space="preserve">A </w:t>
      </w:r>
      <w:r>
        <w:rPr>
          <w:b/>
          <w:highlight w:val="yellow"/>
        </w:rPr>
        <w:t>megfigyelési szakasz</w:t>
      </w:r>
      <w:r>
        <w:rPr>
          <w:highlight w:val="yellow"/>
        </w:rPr>
        <w:t xml:space="preserve"> az információk és adatok összegyűjtésére szolgál. Különféle forrásokból, például az NVH monitoring- és értékelői eszközeinek és technikáinak (kérdőívek, felmérések, interjúk, fókuszcsoportok, esettanulmányok stb.) használatával összegyűjtenek minden vonatkozó információt és adatot. Mivel az NVH-értékelésekben a minőségi módszerek vannak túlsúlyban, ehhez a szakaszhoz jelentős erőforrásokra lesz szükség.</w:t>
      </w:r>
    </w:p>
    <w:p w:rsidR="00170A1A" w:rsidRPr="00BB2924" w:rsidRDefault="00170A1A" w:rsidP="001B4E97">
      <w:pPr>
        <w:pStyle w:val="HStandard"/>
        <w:rPr>
          <w:highlight w:val="yellow"/>
        </w:rPr>
      </w:pPr>
      <w:r>
        <w:rPr>
          <w:highlight w:val="yellow"/>
        </w:rPr>
        <w:t xml:space="preserve">Az </w:t>
      </w:r>
      <w:r>
        <w:rPr>
          <w:b/>
          <w:highlight w:val="yellow"/>
        </w:rPr>
        <w:t>elemzési szakaszban</w:t>
      </w:r>
      <w:r>
        <w:rPr>
          <w:highlight w:val="yellow"/>
        </w:rPr>
        <w:t xml:space="preserve"> szisztematikusan feldolgozzák a rendelkezésre álló összes információt, és azokat a kiválasztott értékelési megközelítéssel és módszerrel összhangban szintetizálják. A cél, hogy </w:t>
      </w:r>
      <w:r>
        <w:rPr>
          <w:highlight w:val="yellow"/>
        </w:rPr>
        <w:lastRenderedPageBreak/>
        <w:t>a különböző típusú értékelési technikák körülhatároló jellegű alkalmazásával határozzák meg az értékelés megállapításait.</w:t>
      </w:r>
    </w:p>
    <w:p w:rsidR="00170A1A" w:rsidRPr="00BB2924" w:rsidRDefault="00170A1A" w:rsidP="001B4E97">
      <w:pPr>
        <w:pStyle w:val="HStandard"/>
        <w:rPr>
          <w:highlight w:val="yellow"/>
        </w:rPr>
      </w:pPr>
      <w:r>
        <w:rPr>
          <w:highlight w:val="yellow"/>
        </w:rPr>
        <w:t xml:space="preserve">Az értékelés utolsó, </w:t>
      </w:r>
      <w:r>
        <w:rPr>
          <w:b/>
          <w:highlight w:val="yellow"/>
        </w:rPr>
        <w:t>elbírálási szakaszában</w:t>
      </w:r>
      <w:r>
        <w:rPr>
          <w:highlight w:val="yellow"/>
        </w:rPr>
        <w:t xml:space="preserve"> az értékelő megválaszolja az értékelési kérdéseket, levonja a bizonyítékokon alapuló következtetéseket, és megfogalmazza javaslatait</w:t>
      </w:r>
      <w:r w:rsidRPr="00BB2924">
        <w:rPr>
          <w:rStyle w:val="FootnoteReference"/>
          <w:highlight w:val="yellow"/>
        </w:rPr>
        <w:footnoteReference w:id="84"/>
      </w:r>
      <w:r>
        <w:rPr>
          <w:highlight w:val="yellow"/>
        </w:rPr>
        <w:t xml:space="preserve">. </w:t>
      </w:r>
    </w:p>
    <w:p w:rsidR="00170A1A" w:rsidRPr="00BB2924" w:rsidRDefault="00170A1A" w:rsidP="001B4E97">
      <w:pPr>
        <w:pStyle w:val="HStandard"/>
        <w:rPr>
          <w:highlight w:val="yellow"/>
        </w:rPr>
      </w:pPr>
      <w:r>
        <w:rPr>
          <w:highlight w:val="yellow"/>
        </w:rPr>
        <w:t xml:space="preserve">Ennek az iránymutatásnak a </w:t>
      </w:r>
      <w:r>
        <w:rPr>
          <w:b/>
          <w:color w:val="E7E6E6" w:themeColor="background2"/>
          <w:highlight w:val="yellow"/>
        </w:rPr>
        <w:t>II. része</w:t>
      </w:r>
      <w:r>
        <w:rPr>
          <w:highlight w:val="yellow"/>
        </w:rPr>
        <w:t xml:space="preserve"> részletesen bemutatja az értékelés lebonyolításának szakaszait és lépéseit.</w:t>
      </w:r>
    </w:p>
    <w:p w:rsidR="00170A1A" w:rsidRPr="00BB2924" w:rsidRDefault="00170A1A" w:rsidP="006D3475">
      <w:pPr>
        <w:pStyle w:val="HHeading5"/>
        <w:rPr>
          <w:highlight w:val="yellow"/>
        </w:rPr>
      </w:pPr>
      <w:r>
        <w:rPr>
          <w:highlight w:val="yellow"/>
        </w:rPr>
        <w:t>2. lépés: Az értékelés minőségének és előrehaladásának biztosítása</w:t>
      </w:r>
    </w:p>
    <w:p w:rsidR="00170A1A" w:rsidRPr="00BB2924" w:rsidRDefault="00170A1A" w:rsidP="001B4E97">
      <w:pPr>
        <w:pStyle w:val="HStandard"/>
        <w:rPr>
          <w:highlight w:val="yellow"/>
        </w:rPr>
      </w:pPr>
      <w:r>
        <w:rPr>
          <w:highlight w:val="yellow"/>
        </w:rPr>
        <w:t xml:space="preserve">Minél több értékelést végeznek, annál fontosabb, hogy a megbízó fél (az irányító hatóság vagy a HTE) minőségbiztosítási és minőség-ellenőrzési rendszert hozzon létre. Míg a minőségbiztosítás a folyamatra összpontosít annak biztosítására törekedve, hogy a műveleteket megfelelő módon hajtsák végre, addig a minőség-ellenőrzés a termékeket célozza meg.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BB2924" w:rsidTr="001413F0">
        <w:tc>
          <w:tcPr>
            <w:tcW w:w="9016" w:type="dxa"/>
            <w:shd w:val="clear" w:color="auto" w:fill="F5F4F4" w:themeFill="background2" w:themeFillTint="66"/>
          </w:tcPr>
          <w:p w:rsidR="00170A1A" w:rsidRPr="00BB2924" w:rsidRDefault="00170A1A" w:rsidP="006A3E94">
            <w:pPr>
              <w:pStyle w:val="HStandard"/>
              <w:rPr>
                <w:highlight w:val="yellow"/>
              </w:rPr>
            </w:pPr>
            <w:r>
              <w:rPr>
                <w:highlight w:val="yellow"/>
              </w:rPr>
              <w:t>A minőségbiztosítással és az értékelés előrehaladásával kapcsolatos fő kérdések a következők:</w:t>
            </w:r>
          </w:p>
          <w:p w:rsidR="00170A1A" w:rsidRPr="00BB2924" w:rsidRDefault="00170A1A" w:rsidP="00170A1A">
            <w:pPr>
              <w:pStyle w:val="Hlistbullet"/>
              <w:rPr>
                <w:highlight w:val="yellow"/>
              </w:rPr>
            </w:pPr>
            <w:r>
              <w:rPr>
                <w:highlight w:val="yellow"/>
              </w:rPr>
              <w:t>Melyek az értékelés kezelésére és az értékelővel történő munkavégzésre vonatkozó minőségi szabványok?</w:t>
            </w:r>
          </w:p>
          <w:p w:rsidR="00170A1A" w:rsidRPr="00BB2924" w:rsidRDefault="00170A1A" w:rsidP="00170A1A">
            <w:pPr>
              <w:pStyle w:val="Hlistbullet"/>
              <w:rPr>
                <w:highlight w:val="yellow"/>
              </w:rPr>
            </w:pPr>
            <w:r>
              <w:rPr>
                <w:highlight w:val="yellow"/>
              </w:rPr>
              <w:t>Időben beadták a benyújtandó dokumentumokat?</w:t>
            </w:r>
          </w:p>
          <w:p w:rsidR="00170A1A" w:rsidRPr="00BB2924" w:rsidRDefault="00170A1A" w:rsidP="00170A1A">
            <w:pPr>
              <w:pStyle w:val="Hlistbullet"/>
              <w:rPr>
                <w:highlight w:val="yellow"/>
              </w:rPr>
            </w:pPr>
            <w:r>
              <w:rPr>
                <w:highlight w:val="yellow"/>
              </w:rPr>
              <w:t xml:space="preserve">A benyújtandó dokumentumok minősége megfelelő? Melyek az értékelésre vonatkozó minőségi szabványok? </w:t>
            </w:r>
          </w:p>
          <w:p w:rsidR="00170A1A" w:rsidRPr="00BB2924" w:rsidRDefault="00170A1A" w:rsidP="00170A1A">
            <w:pPr>
              <w:pStyle w:val="Hlistbullet"/>
              <w:rPr>
                <w:highlight w:val="yellow"/>
              </w:rPr>
            </w:pPr>
            <w:r>
              <w:rPr>
                <w:highlight w:val="yellow"/>
              </w:rPr>
              <w:t>Mit lehet tenni a benyújtandó dokumentumok minőségének javítása érdekében?</w:t>
            </w:r>
          </w:p>
          <w:p w:rsidR="00170A1A" w:rsidRPr="00BB2924" w:rsidRDefault="00170A1A" w:rsidP="00170A1A">
            <w:pPr>
              <w:pStyle w:val="Hlistbullet2"/>
              <w:rPr>
                <w:highlight w:val="yellow"/>
              </w:rPr>
            </w:pPr>
            <w:r>
              <w:rPr>
                <w:highlight w:val="yellow"/>
              </w:rPr>
              <w:t>Az értékelő figyelembe veszi a visszajelzéseket?</w:t>
            </w:r>
          </w:p>
        </w:tc>
      </w:tr>
    </w:tbl>
    <w:p w:rsidR="00170A1A" w:rsidRPr="00BB2924" w:rsidRDefault="00170A1A" w:rsidP="00352793">
      <w:pPr>
        <w:pStyle w:val="HStandard"/>
        <w:rPr>
          <w:highlight w:val="yellow"/>
        </w:rPr>
      </w:pPr>
      <w:r>
        <w:rPr>
          <w:highlight w:val="yellow"/>
        </w:rPr>
        <w:t>Ha létrehoztak értékelésirányító csoportot, az ellenőrzi az értékelés előrehaladását. Ha nincs irányító csoport, ezt a feladatot a megbízó félnek kell ellátnia. A feladatmeghatározásban előírt különböző jelentéseket (ideértve a munkaindító jelentést és az időközi jelentés(eke)t, a zárójelentés tervezetét és a zárójelentést) az értékelőnek az értékelési folyamat kulcsszakaszaiban kell benyújtania. A jelentéseket az értékelésirányító csoport és a megbízó fél elemzi, lehetőleg külön erre a célra létrehozott minőség-ellenőrző rendszerek/ellenőrző listák használatával. Az értékelési folyamatokban leggyakrabban használt minőségbiztosítási eszközök az ellenőrző listák, az összesítő listák, az általános és részletes folyamattérképek, valamint a különféle tervek</w:t>
      </w:r>
      <w:r>
        <w:rPr>
          <w:rFonts w:ascii="ZWAdobeF" w:hAnsi="ZWAdobeF"/>
          <w:color w:val="auto"/>
          <w:sz w:val="2"/>
          <w:szCs w:val="2"/>
          <w:highlight w:val="yellow"/>
        </w:rPr>
        <w:t>84F</w:t>
      </w:r>
      <w:r w:rsidRPr="00BB2924">
        <w:rPr>
          <w:rStyle w:val="FootnoteReference"/>
          <w:highlight w:val="yellow"/>
        </w:rPr>
        <w:footnoteReference w:id="85"/>
      </w:r>
      <w:r>
        <w:rPr>
          <w:highlight w:val="yellow"/>
        </w:rPr>
        <w:t>. A minőség-ellenőrzést pedig jellemzően minőség-ellenőrző rendszerek vagy ellenőrző listák révén végzik.</w:t>
      </w:r>
    </w:p>
    <w:p w:rsidR="00170A1A" w:rsidRPr="00BB2924" w:rsidRDefault="00170A1A" w:rsidP="001B4E97">
      <w:pPr>
        <w:pStyle w:val="HStandard"/>
        <w:rPr>
          <w:highlight w:val="yellow"/>
        </w:rPr>
      </w:pPr>
      <w:r>
        <w:rPr>
          <w:highlight w:val="yellow"/>
        </w:rPr>
        <w:t>Az értékelő részére érdemi visszajelzést kell adni kellő időben. Ezáltal nyomon követhető és javítható az értékelés minősége. Ezenkívül rendszeresen ellenőrizhető az értékelés előrehaladása a meghatározott mérföldkövekhez viszonyítva. Az értékelő köteles benyújtani az előírt jelentéseket és figyelembe venni a visszajelzéseket.</w:t>
      </w:r>
    </w:p>
    <w:p w:rsidR="00170A1A" w:rsidRPr="00BB2924" w:rsidRDefault="00170A1A" w:rsidP="006D3475">
      <w:pPr>
        <w:pStyle w:val="HHeading5"/>
        <w:rPr>
          <w:highlight w:val="yellow"/>
        </w:rPr>
      </w:pPr>
      <w:r>
        <w:rPr>
          <w:highlight w:val="yellow"/>
        </w:rPr>
        <w:t xml:space="preserve">3. lépés: A zárójelentés minőségének értékelése </w:t>
      </w:r>
    </w:p>
    <w:p w:rsidR="00170A1A" w:rsidRPr="00BB2924" w:rsidRDefault="00170A1A" w:rsidP="001B4E97">
      <w:pPr>
        <w:pStyle w:val="HStandard"/>
        <w:rPr>
          <w:highlight w:val="yellow"/>
        </w:rPr>
      </w:pPr>
      <w:r>
        <w:rPr>
          <w:highlight w:val="yellow"/>
        </w:rPr>
        <w:t>Miután az értékelő a feladatmeghatározásban kikötött határidőre leadta a zárójelentést, a megbízó fél (az irányító hatóság vagy a HTE) és adott esetben az értékelésirányító csoport alapos minőségvizsgálatnak veti alá azt. Erre a célra javasolt az értékelési jelentésekre és a minőségvizsgálati rendszerre vonatkozó minőségi szabványokat kidolgozni. Az NVH értékelési jelentéseivel kapcsolatosan nincsenek kötelező minőségvizsgálati kritériumok.</w:t>
      </w:r>
    </w:p>
    <w:p w:rsidR="00170A1A" w:rsidRPr="00BB2924" w:rsidRDefault="00170A1A" w:rsidP="001B4E97">
      <w:pPr>
        <w:pStyle w:val="HStandard"/>
        <w:rPr>
          <w:highlight w:val="yellow"/>
        </w:rPr>
      </w:pPr>
      <w:r>
        <w:rPr>
          <w:highlight w:val="yellow"/>
        </w:rPr>
        <w:t xml:space="preserve">A jó minőségi kritériumok az értékelési folyamattal (relevancia, időszerűség és inkluzivitás), normatív kérdésekkel (az értékelő függetlensége és pártatlansága), valamint technikai kritériumokkal (az </w:t>
      </w:r>
      <w:r>
        <w:rPr>
          <w:highlight w:val="yellow"/>
        </w:rPr>
        <w:lastRenderedPageBreak/>
        <w:t>értékelés relevanciája, hatóköre, megfelelő tervezés, megbízható adatok, következetes elemzés, hiteles megállapítások, az értékelési kérdésekre adott bizonyítékalapú válaszok, érvényes következtetések, hasznos javaslatok és egyértelmű jelentés</w:t>
      </w:r>
      <w:r>
        <w:rPr>
          <w:rFonts w:ascii="ZWAdobeF" w:hAnsi="ZWAdobeF"/>
          <w:color w:val="auto"/>
          <w:sz w:val="2"/>
          <w:szCs w:val="2"/>
          <w:highlight w:val="yellow"/>
        </w:rPr>
        <w:t>85F</w:t>
      </w:r>
      <w:r w:rsidRPr="00BB2924">
        <w:rPr>
          <w:rStyle w:val="FootnoteReference"/>
          <w:highlight w:val="yellow"/>
        </w:rPr>
        <w:footnoteReference w:id="86"/>
      </w:r>
      <w:r>
        <w:rPr>
          <w:highlight w:val="yellow"/>
        </w:rPr>
        <w:t xml:space="preserve">) kapcsolatosak. </w:t>
      </w:r>
    </w:p>
    <w:p w:rsidR="00170A1A" w:rsidRPr="00BB2924" w:rsidRDefault="00170A1A" w:rsidP="00922CBE">
      <w:pPr>
        <w:pStyle w:val="HHeadingfigures"/>
        <w:rPr>
          <w:highlight w:val="yellow"/>
        </w:rPr>
      </w:pPr>
      <w:bookmarkStart w:id="110" w:name="_Toc445465132"/>
      <w:bookmarkStart w:id="111" w:name="_Toc464410820"/>
      <w:r>
        <w:rPr>
          <w:highlight w:val="yellow"/>
        </w:rPr>
        <w:t>Az érdekeltek felelősségi körei az NVH-értékelés megvalósításában</w:t>
      </w:r>
      <w:bookmarkEnd w:id="110"/>
      <w:bookmarkEnd w:id="111"/>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371"/>
        <w:gridCol w:w="1771"/>
        <w:gridCol w:w="1069"/>
        <w:gridCol w:w="1787"/>
        <w:gridCol w:w="2564"/>
      </w:tblGrid>
      <w:tr w:rsidR="00170A1A" w:rsidRPr="00BB2924" w:rsidTr="001413F0">
        <w:tc>
          <w:tcPr>
            <w:tcW w:w="0" w:type="auto"/>
            <w:tcBorders>
              <w:top w:val="nil"/>
              <w:left w:val="nil"/>
              <w:bottom w:val="single" w:sz="4" w:space="0" w:color="000000" w:themeColor="text1"/>
            </w:tcBorders>
          </w:tcPr>
          <w:p w:rsidR="00170A1A" w:rsidRPr="00BB2924" w:rsidRDefault="00170A1A" w:rsidP="008B1515">
            <w:pPr>
              <w:jc w:val="right"/>
              <w:rPr>
                <w:b/>
                <w:szCs w:val="18"/>
                <w:highlight w:val="yellow"/>
              </w:rPr>
            </w:pPr>
          </w:p>
        </w:tc>
        <w:tc>
          <w:tcPr>
            <w:tcW w:w="0" w:type="auto"/>
            <w:shd w:val="clear" w:color="auto" w:fill="E7E6E6" w:themeFill="background2"/>
          </w:tcPr>
          <w:p w:rsidR="00170A1A" w:rsidRPr="00BB2924" w:rsidRDefault="00170A1A" w:rsidP="001413F0">
            <w:pPr>
              <w:jc w:val="center"/>
              <w:rPr>
                <w:b/>
                <w:color w:val="5B9BD5" w:themeColor="accent1"/>
                <w:szCs w:val="18"/>
                <w:highlight w:val="yellow"/>
              </w:rPr>
            </w:pPr>
            <w:r>
              <w:rPr>
                <w:b/>
                <w:color w:val="5B9BD5" w:themeColor="accent1"/>
                <w:szCs w:val="18"/>
                <w:highlight w:val="yellow"/>
              </w:rPr>
              <w:t>Intézkedések</w:t>
            </w:r>
          </w:p>
        </w:tc>
        <w:tc>
          <w:tcPr>
            <w:tcW w:w="0" w:type="auto"/>
            <w:gridSpan w:val="4"/>
            <w:shd w:val="clear" w:color="auto" w:fill="E7E6E6" w:themeFill="background2"/>
          </w:tcPr>
          <w:p w:rsidR="00170A1A" w:rsidRPr="00BB2924" w:rsidRDefault="00170A1A" w:rsidP="001413F0">
            <w:pPr>
              <w:jc w:val="center"/>
              <w:rPr>
                <w:b/>
                <w:color w:val="5B9BD5" w:themeColor="accent1"/>
                <w:szCs w:val="18"/>
                <w:highlight w:val="yellow"/>
              </w:rPr>
            </w:pPr>
            <w:r>
              <w:rPr>
                <w:b/>
                <w:color w:val="5B9BD5" w:themeColor="accent1"/>
                <w:szCs w:val="18"/>
                <w:highlight w:val="yellow"/>
              </w:rPr>
              <w:t>Szereplők</w:t>
            </w:r>
          </w:p>
        </w:tc>
      </w:tr>
      <w:tr w:rsidR="00170A1A" w:rsidRPr="00BB2924" w:rsidTr="001413F0">
        <w:trPr>
          <w:cantSplit/>
          <w:trHeight w:val="1134"/>
        </w:trPr>
        <w:tc>
          <w:tcPr>
            <w:tcW w:w="0" w:type="auto"/>
            <w:shd w:val="clear" w:color="auto" w:fill="E7E6E6" w:themeFill="background2"/>
            <w:textDirection w:val="tbRl"/>
          </w:tcPr>
          <w:p w:rsidR="00170A1A" w:rsidRPr="00BB2924" w:rsidRDefault="00170A1A" w:rsidP="001413F0">
            <w:pPr>
              <w:ind w:left="113" w:right="113"/>
              <w:jc w:val="center"/>
              <w:rPr>
                <w:b/>
                <w:color w:val="5B9BD5" w:themeColor="accent1"/>
                <w:szCs w:val="18"/>
                <w:highlight w:val="yellow"/>
              </w:rPr>
            </w:pPr>
            <w:r>
              <w:rPr>
                <w:b/>
                <w:color w:val="5B9BD5" w:themeColor="accent1"/>
                <w:szCs w:val="18"/>
                <w:highlight w:val="yellow"/>
              </w:rPr>
              <w:t>Szakasz</w:t>
            </w: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Lépés</w:t>
            </w:r>
          </w:p>
        </w:tc>
        <w:tc>
          <w:tcPr>
            <w:tcW w:w="0" w:type="auto"/>
          </w:tcPr>
          <w:p w:rsidR="00170A1A" w:rsidRPr="00BB2924" w:rsidRDefault="00170A1A" w:rsidP="008B1515">
            <w:pPr>
              <w:rPr>
                <w:i/>
                <w:szCs w:val="18"/>
                <w:highlight w:val="yellow"/>
              </w:rPr>
            </w:pPr>
            <w:r>
              <w:rPr>
                <w:i/>
                <w:szCs w:val="18"/>
                <w:highlight w:val="yellow"/>
              </w:rPr>
              <w:t>Irányító hatóság</w:t>
            </w:r>
          </w:p>
        </w:tc>
        <w:tc>
          <w:tcPr>
            <w:tcW w:w="0" w:type="auto"/>
          </w:tcPr>
          <w:p w:rsidR="00170A1A" w:rsidRPr="00BB2924" w:rsidRDefault="00170A1A" w:rsidP="008B1515">
            <w:pPr>
              <w:rPr>
                <w:i/>
                <w:szCs w:val="18"/>
                <w:highlight w:val="yellow"/>
              </w:rPr>
            </w:pPr>
            <w:r>
              <w:rPr>
                <w:i/>
                <w:szCs w:val="18"/>
                <w:highlight w:val="yellow"/>
              </w:rPr>
              <w:t>Az irányító hatóság más egységei</w:t>
            </w:r>
          </w:p>
        </w:tc>
        <w:tc>
          <w:tcPr>
            <w:tcW w:w="0" w:type="auto"/>
          </w:tcPr>
          <w:p w:rsidR="00170A1A" w:rsidRPr="00BB2924" w:rsidRDefault="00170A1A" w:rsidP="008B1515">
            <w:pPr>
              <w:rPr>
                <w:i/>
                <w:szCs w:val="18"/>
                <w:highlight w:val="yellow"/>
              </w:rPr>
            </w:pPr>
            <w:r>
              <w:rPr>
                <w:i/>
                <w:szCs w:val="18"/>
                <w:highlight w:val="yellow"/>
              </w:rPr>
              <w:t>HTE</w:t>
            </w:r>
          </w:p>
        </w:tc>
        <w:tc>
          <w:tcPr>
            <w:tcW w:w="0" w:type="auto"/>
          </w:tcPr>
          <w:p w:rsidR="00170A1A" w:rsidRPr="00BB2924" w:rsidRDefault="00170A1A" w:rsidP="008B1515">
            <w:pPr>
              <w:rPr>
                <w:i/>
                <w:szCs w:val="18"/>
                <w:highlight w:val="yellow"/>
              </w:rPr>
            </w:pPr>
            <w:r>
              <w:rPr>
                <w:i/>
                <w:szCs w:val="18"/>
                <w:highlight w:val="yellow"/>
              </w:rPr>
              <w:t>Egyéb résztvevők</w:t>
            </w:r>
          </w:p>
        </w:tc>
      </w:tr>
      <w:tr w:rsidR="00170A1A" w:rsidRPr="00BB2924" w:rsidTr="001413F0">
        <w:trPr>
          <w:cantSplit/>
          <w:trHeight w:val="1493"/>
        </w:trPr>
        <w:tc>
          <w:tcPr>
            <w:tcW w:w="0" w:type="auto"/>
            <w:vMerge w:val="restart"/>
            <w:shd w:val="clear" w:color="auto" w:fill="E7E6E6" w:themeFill="background2"/>
            <w:textDirection w:val="tbRl"/>
          </w:tcPr>
          <w:p w:rsidR="00170A1A" w:rsidRPr="00BB2924" w:rsidRDefault="00170A1A" w:rsidP="001413F0">
            <w:pPr>
              <w:ind w:left="113" w:right="113"/>
              <w:jc w:val="center"/>
              <w:rPr>
                <w:b/>
                <w:color w:val="5B9BD5" w:themeColor="accent1"/>
                <w:szCs w:val="18"/>
                <w:highlight w:val="yellow"/>
              </w:rPr>
            </w:pPr>
            <w:r>
              <w:rPr>
                <w:b/>
                <w:color w:val="5B9BD5" w:themeColor="accent1"/>
                <w:szCs w:val="18"/>
                <w:highlight w:val="yellow"/>
              </w:rPr>
              <w:t>Végrehajtás</w:t>
            </w: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Lebonyolítás</w:t>
            </w:r>
          </w:p>
        </w:tc>
        <w:tc>
          <w:tcPr>
            <w:tcW w:w="0" w:type="auto"/>
          </w:tcPr>
          <w:p w:rsidR="00170A1A" w:rsidRPr="00BB2924" w:rsidRDefault="00170A1A" w:rsidP="008B1515">
            <w:pPr>
              <w:rPr>
                <w:szCs w:val="18"/>
                <w:highlight w:val="yellow"/>
              </w:rPr>
            </w:pPr>
            <w:r>
              <w:rPr>
                <w:szCs w:val="18"/>
                <w:highlight w:val="yellow"/>
              </w:rPr>
              <w:t>Segíti az értékelőt, biztosítja a minőséget</w:t>
            </w:r>
          </w:p>
        </w:tc>
        <w:tc>
          <w:tcPr>
            <w:tcW w:w="0" w:type="auto"/>
          </w:tcPr>
          <w:p w:rsidR="00170A1A" w:rsidRPr="00BB2924" w:rsidRDefault="00170A1A" w:rsidP="008B1515">
            <w:pPr>
              <w:rPr>
                <w:szCs w:val="18"/>
                <w:highlight w:val="yellow"/>
              </w:rPr>
            </w:pPr>
          </w:p>
        </w:tc>
        <w:tc>
          <w:tcPr>
            <w:tcW w:w="0" w:type="auto"/>
          </w:tcPr>
          <w:p w:rsidR="00170A1A" w:rsidRPr="00BB2924" w:rsidRDefault="00170A1A" w:rsidP="008B1515">
            <w:pPr>
              <w:rPr>
                <w:szCs w:val="18"/>
                <w:highlight w:val="yellow"/>
              </w:rPr>
            </w:pPr>
            <w:r>
              <w:rPr>
                <w:szCs w:val="18"/>
                <w:highlight w:val="yellow"/>
              </w:rPr>
              <w:t>Segíti az értékelőt, biztosítja az adatokat</w:t>
            </w:r>
          </w:p>
        </w:tc>
        <w:tc>
          <w:tcPr>
            <w:tcW w:w="0" w:type="auto"/>
          </w:tcPr>
          <w:p w:rsidR="00170A1A" w:rsidRPr="00BB2924" w:rsidRDefault="00170A1A" w:rsidP="008B1515">
            <w:pPr>
              <w:rPr>
                <w:szCs w:val="18"/>
                <w:highlight w:val="yellow"/>
              </w:rPr>
            </w:pPr>
            <w:r>
              <w:rPr>
                <w:szCs w:val="18"/>
                <w:highlight w:val="yellow"/>
              </w:rPr>
              <w:t>A kifizető ügynökség adatokat szolgáltat</w:t>
            </w:r>
          </w:p>
          <w:p w:rsidR="00170A1A" w:rsidRPr="00BB2924" w:rsidRDefault="00170A1A" w:rsidP="008B1515">
            <w:pPr>
              <w:rPr>
                <w:szCs w:val="18"/>
                <w:highlight w:val="yellow"/>
              </w:rPr>
            </w:pPr>
            <w:r>
              <w:rPr>
                <w:szCs w:val="18"/>
                <w:highlight w:val="yellow"/>
              </w:rPr>
              <w:t>A HACS-k adatokat, információszolgáltatókat biztosítanak</w:t>
            </w:r>
          </w:p>
          <w:p w:rsidR="00170A1A" w:rsidRPr="00BB2924" w:rsidRDefault="00170A1A" w:rsidP="008B1515">
            <w:pPr>
              <w:rPr>
                <w:szCs w:val="18"/>
                <w:highlight w:val="yellow"/>
              </w:rPr>
            </w:pPr>
            <w:r>
              <w:rPr>
                <w:szCs w:val="18"/>
                <w:highlight w:val="yellow"/>
              </w:rPr>
              <w:t>A regionális irányító hatóságok adatokat, információszolgáltatókat biztosítanak</w:t>
            </w:r>
          </w:p>
          <w:p w:rsidR="00170A1A" w:rsidRPr="00BB2924" w:rsidRDefault="00170A1A" w:rsidP="008B1515">
            <w:pPr>
              <w:rPr>
                <w:szCs w:val="18"/>
                <w:highlight w:val="yellow"/>
              </w:rPr>
            </w:pPr>
            <w:r>
              <w:rPr>
                <w:szCs w:val="18"/>
                <w:highlight w:val="yellow"/>
              </w:rPr>
              <w:t>Az értékelő lebonyolítja az értékelést</w:t>
            </w:r>
          </w:p>
        </w:tc>
      </w:tr>
      <w:tr w:rsidR="00170A1A" w:rsidRPr="00BB2924" w:rsidTr="001413F0">
        <w:trPr>
          <w:cantSplit/>
          <w:trHeight w:val="1134"/>
        </w:trPr>
        <w:tc>
          <w:tcPr>
            <w:tcW w:w="0" w:type="auto"/>
            <w:vMerge/>
            <w:shd w:val="clear" w:color="auto" w:fill="E7E6E6" w:themeFill="background2"/>
            <w:textDirection w:val="tbRl"/>
          </w:tcPr>
          <w:p w:rsidR="00170A1A" w:rsidRPr="00BB2924" w:rsidRDefault="00170A1A" w:rsidP="008B1515">
            <w:pPr>
              <w:ind w:left="113" w:right="113"/>
              <w:rPr>
                <w:szCs w:val="18"/>
                <w:highlight w:val="yellow"/>
              </w:rPr>
            </w:pP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Minőség-ellenőrzés</w:t>
            </w:r>
          </w:p>
        </w:tc>
        <w:tc>
          <w:tcPr>
            <w:tcW w:w="0" w:type="auto"/>
          </w:tcPr>
          <w:p w:rsidR="00170A1A" w:rsidRPr="00BB2924" w:rsidRDefault="00170A1A" w:rsidP="008B1515">
            <w:pPr>
              <w:rPr>
                <w:szCs w:val="18"/>
                <w:highlight w:val="yellow"/>
              </w:rPr>
            </w:pPr>
            <w:r>
              <w:rPr>
                <w:szCs w:val="18"/>
                <w:highlight w:val="yellow"/>
              </w:rPr>
              <w:t>Felelős/résztvevő</w:t>
            </w:r>
          </w:p>
        </w:tc>
        <w:tc>
          <w:tcPr>
            <w:tcW w:w="0" w:type="auto"/>
          </w:tcPr>
          <w:p w:rsidR="00170A1A" w:rsidRPr="00BB2924" w:rsidRDefault="00170A1A" w:rsidP="008B1515">
            <w:pPr>
              <w:rPr>
                <w:szCs w:val="18"/>
                <w:highlight w:val="yellow"/>
              </w:rPr>
            </w:pPr>
          </w:p>
        </w:tc>
        <w:tc>
          <w:tcPr>
            <w:tcW w:w="0" w:type="auto"/>
          </w:tcPr>
          <w:p w:rsidR="00170A1A" w:rsidRPr="00BB2924" w:rsidRDefault="00170A1A" w:rsidP="008B1515">
            <w:pPr>
              <w:rPr>
                <w:szCs w:val="18"/>
                <w:highlight w:val="yellow"/>
              </w:rPr>
            </w:pPr>
            <w:r>
              <w:rPr>
                <w:szCs w:val="18"/>
                <w:highlight w:val="yellow"/>
              </w:rPr>
              <w:t>Résztvevő/felelős</w:t>
            </w:r>
          </w:p>
        </w:tc>
        <w:tc>
          <w:tcPr>
            <w:tcW w:w="0" w:type="auto"/>
          </w:tcPr>
          <w:p w:rsidR="00170A1A" w:rsidRPr="00BB2924" w:rsidRDefault="00170A1A" w:rsidP="00D76339">
            <w:pPr>
              <w:rPr>
                <w:szCs w:val="18"/>
                <w:highlight w:val="yellow"/>
              </w:rPr>
            </w:pPr>
            <w:r>
              <w:rPr>
                <w:szCs w:val="18"/>
                <w:highlight w:val="yellow"/>
              </w:rPr>
              <w:t>Az esetleges irányító csoport részvétele</w:t>
            </w:r>
          </w:p>
        </w:tc>
      </w:tr>
    </w:tbl>
    <w:p w:rsidR="00170A1A" w:rsidRPr="00BB2924" w:rsidRDefault="00170A1A" w:rsidP="001B4E97">
      <w:pPr>
        <w:pStyle w:val="HHeading3"/>
        <w:rPr>
          <w:highlight w:val="yellow"/>
        </w:rPr>
      </w:pPr>
      <w:bookmarkStart w:id="112" w:name="_Toc464410794"/>
      <w:r>
        <w:rPr>
          <w:highlight w:val="yellow"/>
        </w:rPr>
        <w:t>Az értékelés megállapításainak ismertetése és terjesztése</w:t>
      </w:r>
      <w:bookmarkEnd w:id="112"/>
      <w:r>
        <w:rPr>
          <w:highlight w:val="yellow"/>
        </w:rPr>
        <w:t xml:space="preserve"> </w:t>
      </w:r>
    </w:p>
    <w:p w:rsidR="00170A1A" w:rsidRPr="00BB2924" w:rsidRDefault="00170A1A" w:rsidP="006D3475">
      <w:pPr>
        <w:pStyle w:val="HHeading5"/>
        <w:rPr>
          <w:highlight w:val="yellow"/>
        </w:rPr>
      </w:pPr>
      <w:r>
        <w:rPr>
          <w:highlight w:val="yellow"/>
        </w:rPr>
        <w:t>Az értékelés megállapításainak ismertetése</w:t>
      </w:r>
    </w:p>
    <w:p w:rsidR="00170A1A" w:rsidRPr="00BB2924" w:rsidRDefault="00170A1A" w:rsidP="001B4E97">
      <w:pPr>
        <w:pStyle w:val="HStandard"/>
        <w:rPr>
          <w:highlight w:val="yellow"/>
        </w:rPr>
      </w:pPr>
      <w:r>
        <w:rPr>
          <w:highlight w:val="yellow"/>
        </w:rPr>
        <w:t>A kommunikáció az értékelési folyamat egészét végigkíséri, de a legfőbb kommunikációs tevékenység az értékelés végén történik, az eredmények és javaslatok véglegesítését követően. A kommunikációs tevékenységeket az értékelési folyamat elején készített kommunikációs terv szerint kell végrehajtani.</w:t>
      </w:r>
    </w:p>
    <w:p w:rsidR="00170A1A" w:rsidRPr="00BB2924" w:rsidRDefault="00170A1A" w:rsidP="006D3475">
      <w:pPr>
        <w:pStyle w:val="HHeading5"/>
        <w:rPr>
          <w:highlight w:val="yellow"/>
        </w:rPr>
      </w:pPr>
      <w:r>
        <w:rPr>
          <w:highlight w:val="yellow"/>
        </w:rPr>
        <w:t>Terjesztés</w:t>
      </w:r>
    </w:p>
    <w:p w:rsidR="00170A1A" w:rsidRPr="00BB2924" w:rsidRDefault="00170A1A" w:rsidP="001B4E97">
      <w:pPr>
        <w:pStyle w:val="HStandard"/>
        <w:rPr>
          <w:highlight w:val="yellow"/>
        </w:rPr>
      </w:pPr>
      <w:r>
        <w:rPr>
          <w:highlight w:val="yellow"/>
        </w:rPr>
        <w:t>Az értékelési jelentést nyilvánosságra kell hozni. Közzé kell tenni az irányító hatóság/HTE honlapján. Az átláthatóság növelése érdekében az értékelési jelentést el kell továbbá küldeni az értékelési folyamat résztvevőinek és az NVH(P) minden érdekeltjének. Helyes gyakorlatként javasolt lakossági összefoglalót készíteni az értékelés fő megállapításairól. Az értékelést emellett munkaértekezleteken és egyéb (például az monitoringbizottság részvételével zajló) eseményeken kell bemutatni és megvitatni. Fontos a folyamat korai szakaszában megállapodni abban, hogy a terjesztéssel kapcsolatos feladatok közül melyiket végzi az irányító hatóság, és melyiket a HTE.</w:t>
      </w:r>
    </w:p>
    <w:p w:rsidR="00170A1A" w:rsidRPr="00BB2924" w:rsidRDefault="00170A1A" w:rsidP="006D3475">
      <w:pPr>
        <w:pStyle w:val="HHeading5"/>
        <w:rPr>
          <w:highlight w:val="yellow"/>
        </w:rPr>
      </w:pPr>
      <w:r>
        <w:rPr>
          <w:highlight w:val="yellow"/>
        </w:rPr>
        <w:t xml:space="preserve">Az értékelési megállapítások nyomon követése </w:t>
      </w:r>
    </w:p>
    <w:p w:rsidR="00170A1A" w:rsidRPr="00BB2924" w:rsidRDefault="00170A1A" w:rsidP="001B4E97">
      <w:pPr>
        <w:pStyle w:val="HStandard"/>
        <w:rPr>
          <w:highlight w:val="yellow"/>
        </w:rPr>
      </w:pPr>
      <w:r>
        <w:rPr>
          <w:highlight w:val="yellow"/>
        </w:rPr>
        <w:t xml:space="preserve">Az értékelés (és az önértékelés) csak akkor lehet hasznos magának az NVH-nak, ha a megállapításokkal és javaslatokkal kapcsolatos nyomon követési és hasznosítási eljárást hajtottak végre. </w:t>
      </w:r>
    </w:p>
    <w:p w:rsidR="00170A1A" w:rsidRPr="00BB2924" w:rsidRDefault="00170A1A" w:rsidP="001B4E97">
      <w:pPr>
        <w:pStyle w:val="HStandard"/>
        <w:rPr>
          <w:highlight w:val="yellow"/>
        </w:rPr>
      </w:pPr>
      <w:r>
        <w:rPr>
          <w:highlight w:val="yellow"/>
        </w:rPr>
        <w:t xml:space="preserve">Az értékelés megállapításainak hasznosítása és a megvalósítás ütemterve felvezethető a koordináló szerv teendői közé vagy a javaslattal megcélzott hálózat/szereplő munkatervébe. Éves dokumentum </w:t>
      </w:r>
      <w:r>
        <w:rPr>
          <w:highlight w:val="yellow"/>
        </w:rPr>
        <w:lastRenderedPageBreak/>
        <w:t xml:space="preserve">lévén a cselekvési terv kiváló hátteret nyújt ehhez az NVH számára. Az NVH cselekvési terve előírásokat is tartalmazhat arra vonatkozóan, hogy az értékelés és az önértékelés eredményeit miként kell felhasználni a hálózati tevékenység fejlesztéséhez. A javaslatok betartásának előrehaladása bevonható az éves jelentéskészítésbe. Így az értékelés megállapításai is bekerülnek a jövőben alkalmazandó politika kialakításába. Az irányító hatóság és a koordináló szerv feladata kidolgozni és végrehajtani az értékelési javaslatok nyomon követésének stratégiáját és folyamatát. A nyomon követést az értékelés felelőse nyomon követési mátrix formájában hajthatja végre, erre egy példát a </w:t>
      </w:r>
      <w:r w:rsidRPr="00BB2924">
        <w:rPr>
          <w:highlight w:val="yellow"/>
        </w:rPr>
        <w:fldChar w:fldCharType="begin" w:fldLock="1"/>
      </w:r>
      <w:r w:rsidRPr="00BB2924">
        <w:rPr>
          <w:highlight w:val="yellow"/>
        </w:rPr>
        <w:instrText xml:space="preserve"> REF _Ref451785007 \r \h </w:instrText>
      </w:r>
      <w:r>
        <w:rPr>
          <w:highlight w:val="yellow"/>
        </w:rPr>
        <w:instrText xml:space="preserve"> \* MERGEFORMAT </w:instrText>
      </w:r>
      <w:r w:rsidRPr="00BB2924">
        <w:rPr>
          <w:highlight w:val="yellow"/>
        </w:rPr>
      </w:r>
      <w:r w:rsidRPr="00BB2924">
        <w:rPr>
          <w:highlight w:val="yellow"/>
        </w:rPr>
        <w:fldChar w:fldCharType="separate"/>
      </w:r>
      <w:r w:rsidRPr="00BB2924">
        <w:rPr>
          <w:highlight w:val="yellow"/>
        </w:rPr>
        <w:t>Table 9</w:t>
      </w:r>
      <w:r w:rsidRPr="00BB2924">
        <w:rPr>
          <w:highlight w:val="yellow"/>
        </w:rPr>
        <w:fldChar w:fldCharType="end"/>
      </w:r>
      <w:r>
        <w:rPr>
          <w:highlight w:val="yellow"/>
        </w:rPr>
        <w:t xml:space="preserve"> mutat be. </w:t>
      </w:r>
    </w:p>
    <w:p w:rsidR="00170A1A" w:rsidRPr="00BB2924" w:rsidRDefault="00170A1A" w:rsidP="001249DA">
      <w:pPr>
        <w:pStyle w:val="HHeadingtables"/>
        <w:rPr>
          <w:highlight w:val="yellow"/>
        </w:rPr>
      </w:pPr>
      <w:bookmarkStart w:id="113" w:name="_Toc436383151"/>
      <w:bookmarkStart w:id="114" w:name="_Ref451785007"/>
      <w:bookmarkStart w:id="115" w:name="_Toc464410803"/>
      <w:r>
        <w:rPr>
          <w:highlight w:val="yellow"/>
        </w:rPr>
        <w:t>Értékelés nyomon követési mátrixa</w:t>
      </w:r>
      <w:bookmarkEnd w:id="113"/>
      <w:bookmarkEnd w:id="114"/>
      <w:bookmarkEnd w:id="115"/>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170A1A" w:rsidRPr="00BB2924" w:rsidTr="00D90A43">
        <w:trPr>
          <w:tblHeader/>
          <w:jc w:val="center"/>
        </w:trPr>
        <w:tc>
          <w:tcPr>
            <w:tcW w:w="2965" w:type="dxa"/>
            <w:shd w:val="clear" w:color="auto" w:fill="E7E6E6" w:themeFill="background2"/>
          </w:tcPr>
          <w:p w:rsidR="00170A1A" w:rsidRPr="00BB2924" w:rsidRDefault="00170A1A" w:rsidP="001249DA">
            <w:pPr>
              <w:pStyle w:val="Htableleftbolt"/>
              <w:jc w:val="center"/>
              <w:rPr>
                <w:rFonts w:cs="Arial"/>
                <w:color w:val="5B9BD5" w:themeColor="accent1"/>
                <w:sz w:val="18"/>
                <w:szCs w:val="18"/>
                <w:highlight w:val="yellow"/>
              </w:rPr>
            </w:pPr>
            <w:r>
              <w:rPr>
                <w:color w:val="5B9BD5" w:themeColor="accent1"/>
                <w:sz w:val="18"/>
                <w:szCs w:val="18"/>
                <w:highlight w:val="yellow"/>
              </w:rPr>
              <w:t>MIT?</w:t>
            </w:r>
          </w:p>
        </w:tc>
        <w:tc>
          <w:tcPr>
            <w:tcW w:w="1530" w:type="dxa"/>
            <w:shd w:val="clear" w:color="auto" w:fill="E7E6E6" w:themeFill="background2"/>
          </w:tcPr>
          <w:p w:rsidR="00170A1A" w:rsidRPr="00BB2924" w:rsidRDefault="00170A1A" w:rsidP="001249DA">
            <w:pPr>
              <w:pStyle w:val="Htableleftbolt"/>
              <w:jc w:val="center"/>
              <w:rPr>
                <w:rFonts w:cs="Arial"/>
                <w:color w:val="5B9BD5" w:themeColor="accent1"/>
                <w:sz w:val="18"/>
                <w:szCs w:val="18"/>
                <w:highlight w:val="yellow"/>
              </w:rPr>
            </w:pPr>
            <w:r>
              <w:rPr>
                <w:color w:val="5B9BD5" w:themeColor="accent1"/>
                <w:sz w:val="18"/>
                <w:szCs w:val="18"/>
                <w:highlight w:val="yellow"/>
              </w:rPr>
              <w:t>MIKOR?</w:t>
            </w:r>
          </w:p>
        </w:tc>
        <w:tc>
          <w:tcPr>
            <w:tcW w:w="1530" w:type="dxa"/>
            <w:shd w:val="clear" w:color="auto" w:fill="E7E6E6" w:themeFill="background2"/>
          </w:tcPr>
          <w:p w:rsidR="00170A1A" w:rsidRPr="00BB2924" w:rsidRDefault="00170A1A" w:rsidP="001249DA">
            <w:pPr>
              <w:pStyle w:val="Htableleftbolt"/>
              <w:jc w:val="center"/>
              <w:rPr>
                <w:rFonts w:cs="Arial"/>
                <w:color w:val="5B9BD5" w:themeColor="accent1"/>
                <w:sz w:val="18"/>
                <w:szCs w:val="18"/>
                <w:highlight w:val="yellow"/>
              </w:rPr>
            </w:pPr>
            <w:r>
              <w:rPr>
                <w:color w:val="5B9BD5" w:themeColor="accent1"/>
                <w:sz w:val="18"/>
                <w:szCs w:val="18"/>
                <w:highlight w:val="yellow"/>
              </w:rPr>
              <w:t>KI?</w:t>
            </w:r>
          </w:p>
        </w:tc>
        <w:tc>
          <w:tcPr>
            <w:tcW w:w="1620" w:type="dxa"/>
            <w:shd w:val="clear" w:color="auto" w:fill="E7E6E6" w:themeFill="background2"/>
          </w:tcPr>
          <w:p w:rsidR="00170A1A" w:rsidRPr="00BB2924" w:rsidRDefault="00170A1A" w:rsidP="001249DA">
            <w:pPr>
              <w:pStyle w:val="Htableleftbolt"/>
              <w:jc w:val="center"/>
              <w:rPr>
                <w:rFonts w:cs="Arial"/>
                <w:color w:val="5B9BD5" w:themeColor="accent1"/>
                <w:sz w:val="18"/>
                <w:szCs w:val="18"/>
                <w:highlight w:val="yellow"/>
              </w:rPr>
            </w:pPr>
            <w:r>
              <w:rPr>
                <w:color w:val="5B9BD5" w:themeColor="accent1"/>
                <w:sz w:val="18"/>
                <w:szCs w:val="18"/>
                <w:highlight w:val="yellow"/>
              </w:rPr>
              <w:t>HOGYAN?</w:t>
            </w:r>
          </w:p>
        </w:tc>
        <w:tc>
          <w:tcPr>
            <w:tcW w:w="1440" w:type="dxa"/>
            <w:shd w:val="clear" w:color="auto" w:fill="E7E6E6" w:themeFill="background2"/>
          </w:tcPr>
          <w:p w:rsidR="00170A1A" w:rsidRPr="00BB2924" w:rsidRDefault="00170A1A" w:rsidP="001249DA">
            <w:pPr>
              <w:pStyle w:val="Htableleftbolt"/>
              <w:jc w:val="center"/>
              <w:rPr>
                <w:rFonts w:cs="Arial"/>
                <w:color w:val="5B9BD5" w:themeColor="accent1"/>
                <w:sz w:val="18"/>
                <w:szCs w:val="18"/>
                <w:highlight w:val="yellow"/>
              </w:rPr>
            </w:pPr>
            <w:r>
              <w:rPr>
                <w:color w:val="5B9BD5" w:themeColor="accent1"/>
                <w:sz w:val="18"/>
                <w:szCs w:val="18"/>
                <w:highlight w:val="yellow"/>
              </w:rPr>
              <w:t>MILYEN INTÉZKEDÉSEKET TETTEK EDDIG?</w:t>
            </w:r>
          </w:p>
        </w:tc>
      </w:tr>
      <w:tr w:rsidR="00170A1A" w:rsidRPr="00BB2924" w:rsidTr="00D90A43">
        <w:trPr>
          <w:jc w:val="center"/>
        </w:trPr>
        <w:tc>
          <w:tcPr>
            <w:tcW w:w="2965"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 xml:space="preserve">Melyek az értékelés fő megállapításai? Milyen következtetések/javaslatok születtek? </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Mi a várt változás?</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Mi erről az irányító hatóság/HTE véleménye?</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Mik a teendők?</w:t>
            </w:r>
          </w:p>
        </w:tc>
        <w:tc>
          <w:tcPr>
            <w:tcW w:w="153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A nyomon követés időkerete, a nyomon követés végső határideje</w:t>
            </w:r>
          </w:p>
        </w:tc>
        <w:tc>
          <w:tcPr>
            <w:tcW w:w="153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A nyomon követéssel kapcsolatos felelősségi körök</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 xml:space="preserve">egyéb résztvevők </w:t>
            </w:r>
          </w:p>
        </w:tc>
        <w:tc>
          <w:tcPr>
            <w:tcW w:w="162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 xml:space="preserve">A nyomon követés formátuma </w:t>
            </w:r>
          </w:p>
        </w:tc>
        <w:tc>
          <w:tcPr>
            <w:tcW w:w="144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A nyomon követés állapota, dátuma</w:t>
            </w:r>
          </w:p>
        </w:tc>
      </w:tr>
      <w:tr w:rsidR="00170A1A" w:rsidRPr="00BB2924" w:rsidTr="00D90A43">
        <w:trPr>
          <w:jc w:val="center"/>
        </w:trPr>
        <w:tc>
          <w:tcPr>
            <w:tcW w:w="2965"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Megállapítás – következtetés –</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1. javaslat:</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kizárólag bizonyíték és elemzés alapján, egyértelműen megfogalmazva, okszerűen</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Várt változás:</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az értékelési jelentés szerint</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Az irányító hatóság/HTE válasza:</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elfogadva, részben elfogadva, visszautasítva – indokolás</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Kulcsintézkedések:</w:t>
            </w:r>
          </w:p>
          <w:p w:rsidR="00170A1A" w:rsidRPr="00BB2924" w:rsidRDefault="00170A1A" w:rsidP="001B4E97">
            <w:pPr>
              <w:pStyle w:val="Htablebullet"/>
              <w:rPr>
                <w:color w:val="576C88" w:themeColor="text2" w:themeTint="D9"/>
                <w:szCs w:val="18"/>
                <w:highlight w:val="yellow"/>
              </w:rPr>
            </w:pPr>
            <w:r>
              <w:rPr>
                <w:color w:val="576C88" w:themeColor="text2" w:themeTint="D9"/>
                <w:szCs w:val="18"/>
                <w:highlight w:val="yellow"/>
              </w:rPr>
              <w:t>…</w:t>
            </w:r>
          </w:p>
          <w:p w:rsidR="00170A1A" w:rsidRPr="00BB2924" w:rsidRDefault="00170A1A" w:rsidP="001B4E97">
            <w:pPr>
              <w:pStyle w:val="Htablebullet"/>
              <w:rPr>
                <w:color w:val="576C88" w:themeColor="text2" w:themeTint="D9"/>
                <w:szCs w:val="18"/>
                <w:highlight w:val="yellow"/>
              </w:rPr>
            </w:pPr>
            <w:r>
              <w:rPr>
                <w:color w:val="576C88" w:themeColor="text2" w:themeTint="D9"/>
                <w:szCs w:val="18"/>
                <w:highlight w:val="yellow"/>
              </w:rPr>
              <w:t>…</w:t>
            </w:r>
          </w:p>
        </w:tc>
        <w:tc>
          <w:tcPr>
            <w:tcW w:w="153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negyedévente, évente, félévente stb.</w:t>
            </w:r>
          </w:p>
        </w:tc>
        <w:tc>
          <w:tcPr>
            <w:tcW w:w="153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szervezet, egység, személy</w:t>
            </w:r>
          </w:p>
        </w:tc>
        <w:tc>
          <w:tcPr>
            <w:tcW w:w="162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 xml:space="preserve">Az NVH éves munkatervének elkészítése/jelentéskészítés, </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 xml:space="preserve">éves végrehajtási jelentés, </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 xml:space="preserve">monitoringbizottság, </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irányítócsoport stb.</w:t>
            </w:r>
          </w:p>
        </w:tc>
        <w:tc>
          <w:tcPr>
            <w:tcW w:w="1440"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Státuskódok:</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még nem kezdték el</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folyamatban</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véglegesítve</w:t>
            </w:r>
          </w:p>
        </w:tc>
      </w:tr>
      <w:tr w:rsidR="00170A1A" w:rsidRPr="00BB2924" w:rsidTr="00D90A43">
        <w:trPr>
          <w:jc w:val="center"/>
        </w:trPr>
        <w:tc>
          <w:tcPr>
            <w:tcW w:w="2965" w:type="dxa"/>
            <w:shd w:val="clear" w:color="auto" w:fill="auto"/>
          </w:tcPr>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Megállapítás – következtetés – 2. javaslat:</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Várt változás:</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Az irányító hatóság/HTE válasza:</w:t>
            </w:r>
          </w:p>
          <w:p w:rsidR="00170A1A" w:rsidRPr="00BB2924" w:rsidRDefault="00170A1A" w:rsidP="001B4E97">
            <w:pPr>
              <w:pStyle w:val="Htableleft"/>
              <w:rPr>
                <w:rFonts w:cs="Arial"/>
                <w:color w:val="576C88" w:themeColor="text2" w:themeTint="D9"/>
                <w:szCs w:val="18"/>
                <w:highlight w:val="yellow"/>
              </w:rPr>
            </w:pPr>
            <w:r>
              <w:rPr>
                <w:color w:val="576C88" w:themeColor="text2" w:themeTint="D9"/>
                <w:szCs w:val="18"/>
                <w:highlight w:val="yellow"/>
              </w:rPr>
              <w:t>Kulcsintézkedések:</w:t>
            </w:r>
          </w:p>
          <w:p w:rsidR="00170A1A" w:rsidRPr="00BB2924" w:rsidRDefault="00170A1A" w:rsidP="001B4E97">
            <w:pPr>
              <w:pStyle w:val="Htablebullet"/>
              <w:rPr>
                <w:color w:val="576C88" w:themeColor="text2" w:themeTint="D9"/>
                <w:szCs w:val="18"/>
                <w:highlight w:val="yellow"/>
              </w:rPr>
            </w:pPr>
            <w:r>
              <w:rPr>
                <w:color w:val="576C88" w:themeColor="text2" w:themeTint="D9"/>
                <w:szCs w:val="18"/>
                <w:highlight w:val="yellow"/>
              </w:rPr>
              <w:t>…</w:t>
            </w:r>
          </w:p>
          <w:p w:rsidR="00170A1A" w:rsidRPr="00BB2924" w:rsidRDefault="00170A1A" w:rsidP="001B4E97">
            <w:pPr>
              <w:pStyle w:val="Htablebullet"/>
              <w:rPr>
                <w:color w:val="576C88" w:themeColor="text2" w:themeTint="D9"/>
                <w:szCs w:val="18"/>
                <w:highlight w:val="yellow"/>
              </w:rPr>
            </w:pPr>
            <w:r>
              <w:rPr>
                <w:color w:val="576C88" w:themeColor="text2" w:themeTint="D9"/>
                <w:szCs w:val="18"/>
                <w:highlight w:val="yellow"/>
              </w:rPr>
              <w:t>…</w:t>
            </w:r>
          </w:p>
        </w:tc>
        <w:tc>
          <w:tcPr>
            <w:tcW w:w="1530" w:type="dxa"/>
            <w:shd w:val="clear" w:color="auto" w:fill="auto"/>
          </w:tcPr>
          <w:p w:rsidR="00170A1A" w:rsidRPr="00BB2924" w:rsidRDefault="00170A1A" w:rsidP="001B4E97">
            <w:pPr>
              <w:pStyle w:val="Htableleft"/>
              <w:rPr>
                <w:rFonts w:cs="Arial"/>
                <w:color w:val="576C88" w:themeColor="text2" w:themeTint="D9"/>
                <w:szCs w:val="18"/>
                <w:highlight w:val="yellow"/>
                <w:lang w:val="en-GB"/>
              </w:rPr>
            </w:pPr>
          </w:p>
        </w:tc>
        <w:tc>
          <w:tcPr>
            <w:tcW w:w="1530" w:type="dxa"/>
            <w:shd w:val="clear" w:color="auto" w:fill="auto"/>
          </w:tcPr>
          <w:p w:rsidR="00170A1A" w:rsidRPr="00BB2924" w:rsidRDefault="00170A1A" w:rsidP="001B4E97">
            <w:pPr>
              <w:pStyle w:val="Htableleft"/>
              <w:rPr>
                <w:rFonts w:cs="Arial"/>
                <w:color w:val="576C88" w:themeColor="text2" w:themeTint="D9"/>
                <w:szCs w:val="18"/>
                <w:highlight w:val="yellow"/>
                <w:lang w:val="en-GB"/>
              </w:rPr>
            </w:pPr>
          </w:p>
        </w:tc>
        <w:tc>
          <w:tcPr>
            <w:tcW w:w="1620" w:type="dxa"/>
            <w:shd w:val="clear" w:color="auto" w:fill="auto"/>
          </w:tcPr>
          <w:p w:rsidR="00170A1A" w:rsidRPr="00BB2924" w:rsidRDefault="00170A1A" w:rsidP="001B4E97">
            <w:pPr>
              <w:pStyle w:val="Htableleft"/>
              <w:rPr>
                <w:rFonts w:cs="Arial"/>
                <w:color w:val="576C88" w:themeColor="text2" w:themeTint="D9"/>
                <w:szCs w:val="18"/>
                <w:highlight w:val="yellow"/>
                <w:lang w:val="en-GB"/>
              </w:rPr>
            </w:pPr>
          </w:p>
        </w:tc>
        <w:tc>
          <w:tcPr>
            <w:tcW w:w="1440" w:type="dxa"/>
            <w:shd w:val="clear" w:color="auto" w:fill="auto"/>
          </w:tcPr>
          <w:p w:rsidR="00170A1A" w:rsidRPr="00BB2924" w:rsidRDefault="00170A1A" w:rsidP="001B4E97">
            <w:pPr>
              <w:pStyle w:val="Htableleft"/>
              <w:rPr>
                <w:rFonts w:cs="Arial"/>
                <w:color w:val="576C88" w:themeColor="text2" w:themeTint="D9"/>
                <w:szCs w:val="18"/>
                <w:highlight w:val="yellow"/>
                <w:lang w:val="en-GB"/>
              </w:rPr>
            </w:pPr>
          </w:p>
        </w:tc>
      </w:tr>
    </w:tbl>
    <w:p w:rsidR="00170A1A" w:rsidRPr="00BB2924" w:rsidRDefault="00170A1A" w:rsidP="009E75C6">
      <w:pPr>
        <w:pStyle w:val="HHeadingtables"/>
        <w:numPr>
          <w:ilvl w:val="0"/>
          <w:numId w:val="0"/>
        </w:numPr>
        <w:rPr>
          <w:highlight w:val="yellow"/>
        </w:rPr>
      </w:pPr>
    </w:p>
    <w:p w:rsidR="00170A1A" w:rsidRPr="00BB2924" w:rsidRDefault="00170A1A">
      <w:pPr>
        <w:spacing w:after="0" w:line="240" w:lineRule="auto"/>
        <w:rPr>
          <w:rFonts w:cs="Arial"/>
          <w:b/>
          <w:color w:val="576C88" w:themeColor="text2" w:themeTint="D9"/>
          <w:sz w:val="16"/>
          <w:szCs w:val="20"/>
          <w:highlight w:val="yellow"/>
        </w:rPr>
      </w:pPr>
      <w:r>
        <w:br w:type="page"/>
      </w:r>
    </w:p>
    <w:p w:rsidR="00170A1A" w:rsidRPr="00BB2924" w:rsidRDefault="00170A1A" w:rsidP="001249DA">
      <w:pPr>
        <w:pStyle w:val="HHeadingtables"/>
        <w:rPr>
          <w:highlight w:val="yellow"/>
        </w:rPr>
      </w:pPr>
      <w:bookmarkStart w:id="116" w:name="_Toc464410804"/>
      <w:r>
        <w:rPr>
          <w:highlight w:val="yellow"/>
        </w:rPr>
        <w:lastRenderedPageBreak/>
        <w:t>Az érdekeltek feladatkörei az NVH értékelési megállapításaival kapcsolatos kommunikáció és nyomon követés terén</w:t>
      </w:r>
      <w:bookmarkEnd w:id="116"/>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0"/>
        <w:gridCol w:w="1545"/>
        <w:gridCol w:w="1616"/>
        <w:gridCol w:w="1658"/>
        <w:gridCol w:w="1638"/>
        <w:gridCol w:w="2104"/>
      </w:tblGrid>
      <w:tr w:rsidR="00170A1A" w:rsidRPr="00BB2924" w:rsidTr="001413F0">
        <w:tc>
          <w:tcPr>
            <w:tcW w:w="0" w:type="auto"/>
            <w:tcBorders>
              <w:top w:val="nil"/>
              <w:left w:val="nil"/>
              <w:bottom w:val="single" w:sz="4" w:space="0" w:color="000000" w:themeColor="text1"/>
            </w:tcBorders>
          </w:tcPr>
          <w:p w:rsidR="00170A1A" w:rsidRPr="00BB2924" w:rsidRDefault="00170A1A" w:rsidP="008B1515">
            <w:pPr>
              <w:jc w:val="right"/>
              <w:rPr>
                <w:b/>
                <w:szCs w:val="18"/>
                <w:highlight w:val="yellow"/>
              </w:rPr>
            </w:pPr>
          </w:p>
        </w:tc>
        <w:tc>
          <w:tcPr>
            <w:tcW w:w="0" w:type="auto"/>
            <w:shd w:val="clear" w:color="auto" w:fill="E7E6E6" w:themeFill="background2"/>
          </w:tcPr>
          <w:p w:rsidR="00170A1A" w:rsidRPr="00BB2924" w:rsidRDefault="00170A1A" w:rsidP="001413F0">
            <w:pPr>
              <w:jc w:val="center"/>
              <w:rPr>
                <w:b/>
                <w:color w:val="5B9BD5" w:themeColor="accent1"/>
                <w:szCs w:val="18"/>
                <w:highlight w:val="yellow"/>
              </w:rPr>
            </w:pPr>
            <w:r>
              <w:rPr>
                <w:b/>
                <w:color w:val="5B9BD5" w:themeColor="accent1"/>
                <w:szCs w:val="18"/>
                <w:highlight w:val="yellow"/>
              </w:rPr>
              <w:t>Intézkedések</w:t>
            </w:r>
          </w:p>
        </w:tc>
        <w:tc>
          <w:tcPr>
            <w:tcW w:w="0" w:type="auto"/>
            <w:gridSpan w:val="4"/>
            <w:shd w:val="clear" w:color="auto" w:fill="E7E6E6" w:themeFill="background2"/>
          </w:tcPr>
          <w:p w:rsidR="00170A1A" w:rsidRPr="00BB2924" w:rsidRDefault="00170A1A" w:rsidP="001413F0">
            <w:pPr>
              <w:jc w:val="center"/>
              <w:rPr>
                <w:b/>
                <w:color w:val="5B9BD5" w:themeColor="accent1"/>
                <w:szCs w:val="18"/>
                <w:highlight w:val="yellow"/>
              </w:rPr>
            </w:pPr>
            <w:r>
              <w:rPr>
                <w:b/>
                <w:color w:val="5B9BD5" w:themeColor="accent1"/>
                <w:szCs w:val="18"/>
                <w:highlight w:val="yellow"/>
              </w:rPr>
              <w:t>Szereplők</w:t>
            </w:r>
          </w:p>
        </w:tc>
      </w:tr>
      <w:tr w:rsidR="00170A1A" w:rsidRPr="00BB2924" w:rsidTr="001413F0">
        <w:trPr>
          <w:cantSplit/>
          <w:trHeight w:val="1134"/>
        </w:trPr>
        <w:tc>
          <w:tcPr>
            <w:tcW w:w="0" w:type="auto"/>
            <w:shd w:val="clear" w:color="auto" w:fill="E7E6E6" w:themeFill="background2"/>
            <w:textDirection w:val="tbRl"/>
          </w:tcPr>
          <w:p w:rsidR="00170A1A" w:rsidRPr="00BB2924" w:rsidRDefault="00170A1A" w:rsidP="001413F0">
            <w:pPr>
              <w:ind w:left="113" w:right="113"/>
              <w:jc w:val="center"/>
              <w:rPr>
                <w:b/>
                <w:color w:val="5B9BD5" w:themeColor="accent1"/>
                <w:szCs w:val="18"/>
                <w:highlight w:val="yellow"/>
              </w:rPr>
            </w:pPr>
            <w:r>
              <w:rPr>
                <w:b/>
                <w:color w:val="5B9BD5" w:themeColor="accent1"/>
                <w:szCs w:val="18"/>
                <w:highlight w:val="yellow"/>
              </w:rPr>
              <w:t>Szakasz</w:t>
            </w: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Lépés</w:t>
            </w:r>
          </w:p>
        </w:tc>
        <w:tc>
          <w:tcPr>
            <w:tcW w:w="0" w:type="auto"/>
          </w:tcPr>
          <w:p w:rsidR="00170A1A" w:rsidRPr="00BB2924" w:rsidRDefault="00170A1A" w:rsidP="008B1515">
            <w:pPr>
              <w:rPr>
                <w:i/>
                <w:szCs w:val="18"/>
                <w:highlight w:val="yellow"/>
              </w:rPr>
            </w:pPr>
            <w:r>
              <w:rPr>
                <w:i/>
                <w:szCs w:val="18"/>
                <w:highlight w:val="yellow"/>
              </w:rPr>
              <w:t>Irányító hatóság</w:t>
            </w:r>
          </w:p>
        </w:tc>
        <w:tc>
          <w:tcPr>
            <w:tcW w:w="0" w:type="auto"/>
          </w:tcPr>
          <w:p w:rsidR="00170A1A" w:rsidRPr="00BB2924" w:rsidRDefault="00170A1A" w:rsidP="008B1515">
            <w:pPr>
              <w:rPr>
                <w:i/>
                <w:szCs w:val="18"/>
                <w:highlight w:val="yellow"/>
              </w:rPr>
            </w:pPr>
            <w:r>
              <w:rPr>
                <w:i/>
                <w:szCs w:val="18"/>
                <w:highlight w:val="yellow"/>
              </w:rPr>
              <w:t>Az irányító hatóság más egységei</w:t>
            </w:r>
          </w:p>
        </w:tc>
        <w:tc>
          <w:tcPr>
            <w:tcW w:w="0" w:type="auto"/>
          </w:tcPr>
          <w:p w:rsidR="00170A1A" w:rsidRPr="00BB2924" w:rsidRDefault="00170A1A" w:rsidP="008B1515">
            <w:pPr>
              <w:rPr>
                <w:i/>
                <w:szCs w:val="18"/>
                <w:highlight w:val="yellow"/>
              </w:rPr>
            </w:pPr>
            <w:r>
              <w:rPr>
                <w:i/>
                <w:szCs w:val="18"/>
                <w:highlight w:val="yellow"/>
              </w:rPr>
              <w:t>HTE</w:t>
            </w:r>
          </w:p>
        </w:tc>
        <w:tc>
          <w:tcPr>
            <w:tcW w:w="0" w:type="auto"/>
          </w:tcPr>
          <w:p w:rsidR="00170A1A" w:rsidRPr="00BB2924" w:rsidRDefault="00170A1A" w:rsidP="008B1515">
            <w:pPr>
              <w:rPr>
                <w:i/>
                <w:szCs w:val="18"/>
                <w:highlight w:val="yellow"/>
              </w:rPr>
            </w:pPr>
            <w:r>
              <w:rPr>
                <w:i/>
                <w:szCs w:val="18"/>
                <w:highlight w:val="yellow"/>
              </w:rPr>
              <w:t>Egyéb résztvevők</w:t>
            </w:r>
          </w:p>
        </w:tc>
      </w:tr>
      <w:tr w:rsidR="00170A1A" w:rsidRPr="00BB2924" w:rsidTr="001413F0">
        <w:tc>
          <w:tcPr>
            <w:tcW w:w="0" w:type="auto"/>
            <w:vMerge w:val="restart"/>
            <w:shd w:val="clear" w:color="auto" w:fill="E7E6E6" w:themeFill="background2"/>
            <w:textDirection w:val="tbRl"/>
          </w:tcPr>
          <w:p w:rsidR="00170A1A" w:rsidRPr="00BB2924" w:rsidRDefault="00170A1A" w:rsidP="001413F0">
            <w:pPr>
              <w:ind w:left="113" w:right="113"/>
              <w:jc w:val="center"/>
              <w:rPr>
                <w:b/>
                <w:color w:val="5B9BD5" w:themeColor="accent1"/>
                <w:szCs w:val="18"/>
                <w:highlight w:val="yellow"/>
              </w:rPr>
            </w:pPr>
            <w:r>
              <w:rPr>
                <w:b/>
                <w:color w:val="5B9BD5" w:themeColor="accent1"/>
                <w:szCs w:val="18"/>
                <w:highlight w:val="yellow"/>
              </w:rPr>
              <w:t>Kommunikáció és terjesztés</w:t>
            </w: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Kommunikáció</w:t>
            </w:r>
          </w:p>
        </w:tc>
        <w:tc>
          <w:tcPr>
            <w:tcW w:w="0" w:type="auto"/>
          </w:tcPr>
          <w:p w:rsidR="00170A1A" w:rsidRPr="00BB2924" w:rsidRDefault="00170A1A" w:rsidP="008B1515">
            <w:pPr>
              <w:rPr>
                <w:szCs w:val="18"/>
                <w:highlight w:val="yellow"/>
              </w:rPr>
            </w:pPr>
            <w:r>
              <w:rPr>
                <w:szCs w:val="18"/>
                <w:highlight w:val="yellow"/>
              </w:rPr>
              <w:t>Felelős/résztvevő</w:t>
            </w:r>
          </w:p>
        </w:tc>
        <w:tc>
          <w:tcPr>
            <w:tcW w:w="0" w:type="auto"/>
          </w:tcPr>
          <w:p w:rsidR="00170A1A" w:rsidRPr="00BB2924" w:rsidRDefault="00170A1A" w:rsidP="008B1515">
            <w:pPr>
              <w:rPr>
                <w:szCs w:val="18"/>
                <w:highlight w:val="yellow"/>
              </w:rPr>
            </w:pPr>
            <w:r>
              <w:rPr>
                <w:szCs w:val="18"/>
                <w:highlight w:val="yellow"/>
              </w:rPr>
              <w:t>Ha van kommunikációs egység, részt vehet</w:t>
            </w:r>
          </w:p>
        </w:tc>
        <w:tc>
          <w:tcPr>
            <w:tcW w:w="0" w:type="auto"/>
          </w:tcPr>
          <w:p w:rsidR="00170A1A" w:rsidRPr="00BB2924" w:rsidRDefault="00170A1A" w:rsidP="008B1515">
            <w:pPr>
              <w:rPr>
                <w:szCs w:val="18"/>
                <w:highlight w:val="yellow"/>
              </w:rPr>
            </w:pPr>
            <w:r>
              <w:rPr>
                <w:szCs w:val="18"/>
                <w:highlight w:val="yellow"/>
              </w:rPr>
              <w:t>Résztvevő/felelős</w:t>
            </w:r>
          </w:p>
        </w:tc>
        <w:tc>
          <w:tcPr>
            <w:tcW w:w="0" w:type="auto"/>
          </w:tcPr>
          <w:p w:rsidR="00170A1A" w:rsidRPr="00BB2924" w:rsidRDefault="00170A1A" w:rsidP="008B1515">
            <w:pPr>
              <w:rPr>
                <w:szCs w:val="18"/>
                <w:highlight w:val="yellow"/>
              </w:rPr>
            </w:pPr>
          </w:p>
        </w:tc>
      </w:tr>
      <w:tr w:rsidR="00170A1A" w:rsidRPr="00BB2924" w:rsidTr="001413F0">
        <w:tc>
          <w:tcPr>
            <w:tcW w:w="0" w:type="auto"/>
            <w:vMerge/>
            <w:shd w:val="clear" w:color="auto" w:fill="E7E6E6" w:themeFill="background2"/>
          </w:tcPr>
          <w:p w:rsidR="00170A1A" w:rsidRPr="00BB2924" w:rsidRDefault="00170A1A" w:rsidP="008B1515">
            <w:pPr>
              <w:rPr>
                <w:szCs w:val="18"/>
                <w:highlight w:val="yellow"/>
              </w:rPr>
            </w:pP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Terjesztés</w:t>
            </w:r>
          </w:p>
        </w:tc>
        <w:tc>
          <w:tcPr>
            <w:tcW w:w="0" w:type="auto"/>
          </w:tcPr>
          <w:p w:rsidR="00170A1A" w:rsidRPr="00BB2924" w:rsidRDefault="00170A1A" w:rsidP="008B1515">
            <w:pPr>
              <w:rPr>
                <w:szCs w:val="18"/>
                <w:highlight w:val="yellow"/>
              </w:rPr>
            </w:pPr>
            <w:r>
              <w:rPr>
                <w:szCs w:val="18"/>
                <w:highlight w:val="yellow"/>
              </w:rPr>
              <w:t>Felelős/résztvevő</w:t>
            </w:r>
          </w:p>
        </w:tc>
        <w:tc>
          <w:tcPr>
            <w:tcW w:w="0" w:type="auto"/>
          </w:tcPr>
          <w:p w:rsidR="00170A1A" w:rsidRPr="00BB2924" w:rsidRDefault="00170A1A" w:rsidP="008B1515">
            <w:pPr>
              <w:rPr>
                <w:szCs w:val="18"/>
                <w:highlight w:val="yellow"/>
              </w:rPr>
            </w:pPr>
            <w:r>
              <w:rPr>
                <w:szCs w:val="18"/>
                <w:highlight w:val="yellow"/>
              </w:rPr>
              <w:t>Ha van kommunikációs egység, részt vehet</w:t>
            </w:r>
          </w:p>
        </w:tc>
        <w:tc>
          <w:tcPr>
            <w:tcW w:w="0" w:type="auto"/>
          </w:tcPr>
          <w:p w:rsidR="00170A1A" w:rsidRPr="00BB2924" w:rsidRDefault="00170A1A" w:rsidP="008B1515">
            <w:pPr>
              <w:rPr>
                <w:szCs w:val="18"/>
                <w:highlight w:val="yellow"/>
              </w:rPr>
            </w:pPr>
            <w:r>
              <w:rPr>
                <w:szCs w:val="18"/>
                <w:highlight w:val="yellow"/>
              </w:rPr>
              <w:t>Résztvevő/felelős</w:t>
            </w:r>
          </w:p>
        </w:tc>
        <w:tc>
          <w:tcPr>
            <w:tcW w:w="0" w:type="auto"/>
          </w:tcPr>
          <w:p w:rsidR="00170A1A" w:rsidRPr="00BB2924" w:rsidRDefault="00170A1A" w:rsidP="008B1515">
            <w:pPr>
              <w:rPr>
                <w:szCs w:val="18"/>
                <w:highlight w:val="yellow"/>
              </w:rPr>
            </w:pPr>
            <w:r>
              <w:rPr>
                <w:szCs w:val="18"/>
                <w:highlight w:val="yellow"/>
              </w:rPr>
              <w:t>A HACS-k és regionális irányító hatóságok végezhetik az információk terjesztését.</w:t>
            </w:r>
          </w:p>
          <w:p w:rsidR="00170A1A" w:rsidRPr="00BB2924" w:rsidRDefault="00170A1A" w:rsidP="008B1515">
            <w:pPr>
              <w:rPr>
                <w:szCs w:val="18"/>
                <w:highlight w:val="yellow"/>
              </w:rPr>
            </w:pPr>
          </w:p>
        </w:tc>
      </w:tr>
      <w:tr w:rsidR="00170A1A" w:rsidRPr="008D0759" w:rsidTr="001413F0">
        <w:trPr>
          <w:trHeight w:val="1885"/>
        </w:trPr>
        <w:tc>
          <w:tcPr>
            <w:tcW w:w="0" w:type="auto"/>
            <w:vMerge/>
            <w:shd w:val="clear" w:color="auto" w:fill="E7E6E6" w:themeFill="background2"/>
          </w:tcPr>
          <w:p w:rsidR="00170A1A" w:rsidRPr="00BB2924" w:rsidRDefault="00170A1A" w:rsidP="008B1515">
            <w:pPr>
              <w:rPr>
                <w:szCs w:val="18"/>
                <w:highlight w:val="yellow"/>
              </w:rPr>
            </w:pPr>
          </w:p>
        </w:tc>
        <w:tc>
          <w:tcPr>
            <w:tcW w:w="0" w:type="auto"/>
          </w:tcPr>
          <w:p w:rsidR="00170A1A" w:rsidRPr="00BB2924" w:rsidRDefault="00170A1A" w:rsidP="008B1515">
            <w:pPr>
              <w:rPr>
                <w:b/>
                <w:color w:val="E7E6E6" w:themeColor="background2"/>
                <w:szCs w:val="18"/>
                <w:highlight w:val="yellow"/>
              </w:rPr>
            </w:pPr>
            <w:r>
              <w:rPr>
                <w:b/>
                <w:color w:val="E7E6E6" w:themeColor="background2"/>
                <w:szCs w:val="18"/>
                <w:highlight w:val="yellow"/>
              </w:rPr>
              <w:t>Nyomon követés</w:t>
            </w:r>
          </w:p>
        </w:tc>
        <w:tc>
          <w:tcPr>
            <w:tcW w:w="0" w:type="auto"/>
          </w:tcPr>
          <w:p w:rsidR="00170A1A" w:rsidRPr="00BB2924" w:rsidRDefault="00170A1A" w:rsidP="008B1515">
            <w:pPr>
              <w:rPr>
                <w:szCs w:val="18"/>
                <w:highlight w:val="yellow"/>
              </w:rPr>
            </w:pPr>
            <w:r>
              <w:rPr>
                <w:szCs w:val="18"/>
                <w:highlight w:val="yellow"/>
              </w:rPr>
              <w:t>Felelős/résztvevő</w:t>
            </w:r>
          </w:p>
        </w:tc>
        <w:tc>
          <w:tcPr>
            <w:tcW w:w="0" w:type="auto"/>
          </w:tcPr>
          <w:p w:rsidR="00170A1A" w:rsidRPr="00BB2924" w:rsidRDefault="00170A1A" w:rsidP="008B1515">
            <w:pPr>
              <w:rPr>
                <w:szCs w:val="18"/>
                <w:highlight w:val="yellow"/>
              </w:rPr>
            </w:pPr>
          </w:p>
        </w:tc>
        <w:tc>
          <w:tcPr>
            <w:tcW w:w="0" w:type="auto"/>
          </w:tcPr>
          <w:p w:rsidR="00170A1A" w:rsidRPr="00BB2924" w:rsidRDefault="00170A1A" w:rsidP="008B1515">
            <w:pPr>
              <w:rPr>
                <w:szCs w:val="18"/>
                <w:highlight w:val="yellow"/>
              </w:rPr>
            </w:pPr>
            <w:r>
              <w:rPr>
                <w:szCs w:val="18"/>
                <w:highlight w:val="yellow"/>
              </w:rPr>
              <w:t>Résztvevő/felelős</w:t>
            </w:r>
          </w:p>
        </w:tc>
        <w:tc>
          <w:tcPr>
            <w:tcW w:w="0" w:type="auto"/>
          </w:tcPr>
          <w:p w:rsidR="00170A1A" w:rsidRPr="008D0759" w:rsidRDefault="00170A1A" w:rsidP="008B1515">
            <w:pPr>
              <w:rPr>
                <w:szCs w:val="18"/>
              </w:rPr>
            </w:pPr>
            <w:r>
              <w:rPr>
                <w:szCs w:val="18"/>
                <w:highlight w:val="yellow"/>
              </w:rPr>
              <w:t>Adott esetben az NVH irányító csoportja hozhat intézkedéseket és ellenőrizheti az értékelési javaslatokkal kapcsolatos előrehaladást.</w:t>
            </w:r>
          </w:p>
        </w:tc>
      </w:tr>
    </w:tbl>
    <w:p w:rsidR="00170A1A" w:rsidRPr="008D0759" w:rsidRDefault="00170A1A" w:rsidP="00457F3C">
      <w:pPr>
        <w:pStyle w:val="HHeading1"/>
        <w:numPr>
          <w:ilvl w:val="0"/>
          <w:numId w:val="0"/>
        </w:numPr>
        <w:ind w:left="510"/>
      </w:pPr>
    </w:p>
    <w:p w:rsidR="00170A1A" w:rsidRPr="00C85192" w:rsidRDefault="00170A1A" w:rsidP="00642574">
      <w:pPr>
        <w:pStyle w:val="HHeading1"/>
      </w:pPr>
      <w:bookmarkStart w:id="117" w:name="_Toc436140051"/>
      <w:bookmarkStart w:id="118" w:name="_Toc443491677"/>
      <w:bookmarkStart w:id="119" w:name="_Toc453079763"/>
      <w:r w:rsidRPr="00C85192">
        <w:lastRenderedPageBreak/>
        <w:t>II. rész – MÓDSZERTANI KÉZIKÖNYV</w:t>
      </w:r>
      <w:bookmarkEnd w:id="117"/>
      <w:bookmarkEnd w:id="118"/>
      <w:bookmarkEnd w:id="119"/>
    </w:p>
    <w:p w:rsidR="00170A1A" w:rsidRPr="00C85192" w:rsidRDefault="00170A1A" w:rsidP="00975D9B">
      <w:pPr>
        <w:pStyle w:val="HHeading5"/>
      </w:pPr>
      <w:r w:rsidRPr="00C85192">
        <w:t>Kinek szól a II. rész?</w:t>
      </w:r>
    </w:p>
    <w:p w:rsidR="00170A1A" w:rsidRPr="00C85192" w:rsidRDefault="00170A1A" w:rsidP="00320BBA">
      <w:pPr>
        <w:pStyle w:val="HStandard"/>
      </w:pPr>
      <w:r w:rsidRPr="00C85192">
        <w:t xml:space="preserve">Ez a rész elsősorban az értékelőknek és minden olyan érdekeltnek szól, akik számára lényegesek az NVH-értékelés módszertani szempontjai. Különösen hasznos lehet még a feladatmeghatározás kidolgozásában részt vevő tisztviselőknek és szakértőknek, valamint az NVH irányításába bevont személyeknek. </w:t>
      </w:r>
    </w:p>
    <w:p w:rsidR="00170A1A" w:rsidRPr="00C85192" w:rsidRDefault="00170A1A" w:rsidP="00320BBA">
      <w:pPr>
        <w:pStyle w:val="HStandard"/>
      </w:pPr>
      <w:r w:rsidRPr="00C85192">
        <w:t xml:space="preserve">A módszertani kézikönyv útmutatást nyújt a teljes, azaz a 2017-es és 2019-es kibővített éves végrehajtási jelentésektől az utólagos értékelésig terjedő időszakban, függetlenül attól, hogy az értékelés az összes értékelési kérdésre kiterjed-e, vagy a tematikus értékelés keretében csak azoknak egy részére. </w:t>
      </w:r>
    </w:p>
    <w:p w:rsidR="00170A1A" w:rsidRPr="00C85192" w:rsidRDefault="00170A1A" w:rsidP="00320BBA">
      <w:pPr>
        <w:pStyle w:val="HStandard"/>
      </w:pPr>
      <w:r w:rsidRPr="00C85192">
        <w:t xml:space="preserve">A </w:t>
      </w:r>
      <w:r w:rsidRPr="00C85192">
        <w:rPr>
          <w:b/>
          <w:color w:val="E7E6E6" w:themeColor="background2"/>
        </w:rPr>
        <w:t>II. rész</w:t>
      </w:r>
      <w:r w:rsidRPr="00C85192">
        <w:t xml:space="preserve"> az NVH-k értékelésének két lehetőségéhez biztosít iránymutatást: </w:t>
      </w:r>
    </w:p>
    <w:p w:rsidR="00170A1A" w:rsidRPr="00C85192" w:rsidRDefault="00170A1A" w:rsidP="004D1A84">
      <w:pPr>
        <w:pStyle w:val="Hlistbullet2"/>
      </w:pPr>
      <w:r w:rsidRPr="00C85192">
        <w:t>az NVH értékelése a VFP keretében nyújtott technikai segítségnyújtás részeként;</w:t>
      </w:r>
    </w:p>
    <w:p w:rsidR="00170A1A" w:rsidRPr="00C85192" w:rsidRDefault="00170A1A" w:rsidP="004D1A84">
      <w:pPr>
        <w:pStyle w:val="Hlistbullet2"/>
      </w:pPr>
      <w:r w:rsidRPr="00C85192">
        <w:t xml:space="preserve">„önálló” értékelés, amely magában foglalja az NVH-program (NVHP) értékelését, vagy az NVH önálló értékelését, még akkor is, ha az egy VFP része (önálló értékelési témaként). </w:t>
      </w:r>
    </w:p>
    <w:p w:rsidR="00170A1A" w:rsidRPr="00C85192" w:rsidRDefault="00170A1A" w:rsidP="00975D9B">
      <w:pPr>
        <w:pStyle w:val="HHeading5"/>
      </w:pPr>
      <w:r w:rsidRPr="00C85192">
        <w:t>A II. rész felépítése</w:t>
      </w:r>
    </w:p>
    <w:p w:rsidR="00170A1A" w:rsidRPr="00C85192" w:rsidRDefault="00170A1A" w:rsidP="00320BBA">
      <w:pPr>
        <w:pStyle w:val="HStandard"/>
      </w:pPr>
      <w:r w:rsidRPr="00C85192">
        <w:t xml:space="preserve">A </w:t>
      </w:r>
      <w:r w:rsidRPr="00C85192">
        <w:rPr>
          <w:b/>
          <w:color w:val="E7E6E6" w:themeColor="background2"/>
        </w:rPr>
        <w:t>II. rész</w:t>
      </w:r>
      <w:r w:rsidRPr="00C85192">
        <w:t xml:space="preserve"> a VFP-értékelés logikai sorrendjét követi, amely az NVH-k értékelésére is vonatkozik:</w:t>
      </w:r>
    </w:p>
    <w:p w:rsidR="00170A1A" w:rsidRPr="00C85192" w:rsidRDefault="00170A1A" w:rsidP="00975D9B">
      <w:pPr>
        <w:pStyle w:val="Hlistbullet2"/>
      </w:pPr>
      <w:r w:rsidRPr="00C85192">
        <w:t xml:space="preserve">A </w:t>
      </w:r>
      <w:r w:rsidRPr="00C85192">
        <w:rPr>
          <w:b/>
        </w:rPr>
        <w:t>szerkezet meghatározásának szakaszában</w:t>
      </w:r>
      <w:r w:rsidRPr="00C85192">
        <w:t xml:space="preserve"> az értékelők meghatározzák az értékelési megközelítést, kiválasztják az értékelési módszereket, és ellenőrzik, hogy a kiválasztott módszer alkalmazásához, valamint a mutatók értékeinek méréséhez szükséges minden adat és információ rendelkezésre áll-e, továbbá meghatározzák azokat az információkat, amelyeket még össze kell gyűjteni. </w:t>
      </w:r>
    </w:p>
    <w:p w:rsidR="00170A1A" w:rsidRPr="00C85192" w:rsidRDefault="00170A1A" w:rsidP="00975D9B">
      <w:pPr>
        <w:pStyle w:val="Hlistbullet2"/>
      </w:pPr>
      <w:r w:rsidRPr="00C85192">
        <w:t xml:space="preserve">A </w:t>
      </w:r>
      <w:r w:rsidRPr="00C85192">
        <w:rPr>
          <w:b/>
        </w:rPr>
        <w:t>megfigyelési szakaszban</w:t>
      </w:r>
      <w:r w:rsidRPr="00C85192">
        <w:t xml:space="preserve"> összegyűjtik és feldolgozzák az adatokat és információkat.  </w:t>
      </w:r>
    </w:p>
    <w:p w:rsidR="00170A1A" w:rsidRPr="00C85192" w:rsidRDefault="00170A1A" w:rsidP="00975D9B">
      <w:pPr>
        <w:pStyle w:val="Hlistbullet2"/>
      </w:pPr>
      <w:r w:rsidRPr="00C85192">
        <w:t xml:space="preserve">Az </w:t>
      </w:r>
      <w:r w:rsidRPr="00C85192">
        <w:rPr>
          <w:b/>
        </w:rPr>
        <w:t>elemzési szakasz</w:t>
      </w:r>
      <w:r w:rsidRPr="00C85192">
        <w:t xml:space="preserve"> során a mutatókat az értékelési módszereket és eszközöket használva mennyiségi adatokkal számszerűsítik vagy minőségi információkkal fejezik ki.</w:t>
      </w:r>
    </w:p>
    <w:p w:rsidR="00170A1A" w:rsidRPr="00C85192" w:rsidRDefault="00170A1A" w:rsidP="00975D9B">
      <w:pPr>
        <w:pStyle w:val="Hlistbullet2"/>
      </w:pPr>
      <w:r w:rsidRPr="00C85192">
        <w:t xml:space="preserve">Az </w:t>
      </w:r>
      <w:r w:rsidRPr="00C85192">
        <w:rPr>
          <w:b/>
        </w:rPr>
        <w:t>elbírálási szakaszban</w:t>
      </w:r>
      <w:r w:rsidRPr="00C85192">
        <w:t xml:space="preserve"> történik a mennyiségi és minőségi megállapítások értelmezése, az értékelési kérdések megválaszolása, a következtetések és javaslatok megfogalmazása. </w:t>
      </w:r>
    </w:p>
    <w:p w:rsidR="00170A1A" w:rsidRPr="00C85192" w:rsidRDefault="00170A1A" w:rsidP="0099477D">
      <w:pPr>
        <w:pStyle w:val="HHeadingfigures"/>
        <w:numPr>
          <w:ilvl w:val="0"/>
          <w:numId w:val="39"/>
        </w:numPr>
        <w:ind w:left="284" w:hanging="218"/>
      </w:pPr>
      <w:bookmarkStart w:id="120" w:name="_Toc436140072"/>
      <w:bookmarkStart w:id="121" w:name="_Toc436383164"/>
      <w:bookmarkStart w:id="122" w:name="_Ref439951238"/>
      <w:bookmarkStart w:id="123" w:name="_Toc451781936"/>
      <w:r w:rsidRPr="00C85192">
        <w:t>ábra: Az értékelési folyamat négy szakasza</w:t>
      </w:r>
      <w:bookmarkEnd w:id="120"/>
      <w:bookmarkEnd w:id="121"/>
      <w:bookmarkEnd w:id="122"/>
      <w:bookmarkEnd w:id="123"/>
    </w:p>
    <w:p w:rsidR="00170A1A" w:rsidRPr="00C85192" w:rsidRDefault="00170A1A" w:rsidP="00320BBA">
      <w:pPr>
        <w:pStyle w:val="HStandard"/>
        <w:jc w:val="center"/>
      </w:pPr>
      <w:r>
        <w:rPr>
          <w:noProof/>
          <w:lang w:val="en-GB" w:eastAsia="en-GB"/>
        </w:rPr>
        <w:drawing>
          <wp:inline distT="0" distB="0" distL="0" distR="0" wp14:anchorId="3530CC76" wp14:editId="4143A984">
            <wp:extent cx="5727700" cy="2329180"/>
            <wp:effectExtent l="0" t="0" r="635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2329180"/>
                    </a:xfrm>
                    <a:prstGeom prst="rect">
                      <a:avLst/>
                    </a:prstGeom>
                    <a:noFill/>
                    <a:ln>
                      <a:noFill/>
                    </a:ln>
                  </pic:spPr>
                </pic:pic>
              </a:graphicData>
            </a:graphic>
          </wp:inline>
        </w:drawing>
      </w:r>
    </w:p>
    <w:p w:rsidR="00170A1A" w:rsidRPr="00C85192" w:rsidRDefault="00170A1A" w:rsidP="00320BBA">
      <w:pPr>
        <w:pStyle w:val="HSource"/>
      </w:pPr>
      <w:r w:rsidRPr="00C85192">
        <w:t>Forrás: Európai vidékfejlesztési értékelési támogató szolgálat, 2016</w:t>
      </w:r>
    </w:p>
    <w:p w:rsidR="00170A1A" w:rsidRPr="00C85192" w:rsidRDefault="00170A1A" w:rsidP="00320BBA">
      <w:pPr>
        <w:pStyle w:val="HStandard"/>
      </w:pPr>
      <w:r w:rsidRPr="00C85192">
        <w:lastRenderedPageBreak/>
        <w:t>A négy szakasz nem szigorúan időrendi sorrendben következik egymás után. A gyakorlatban átfedik egymást. Javasolt továbbá a folyamatot hurokszerűen követni, például ha bizonyos adatokról kiderül, hogy nem adnak érdemi választ az értékelési kérdésre (megfigyelés), ajánlatos további információforrást bevonni a felmérésbe (szerkezet meghatározása). Ez azt jelenti, hogy a folyamat során mindig figyelembe kell venni, hogy az egyes szakaszok hogyan illeszkednek a teljes folyamatba.</w:t>
      </w:r>
    </w:p>
    <w:p w:rsidR="00170A1A" w:rsidRPr="00C85192" w:rsidRDefault="00170A1A" w:rsidP="00642574">
      <w:pPr>
        <w:pStyle w:val="HHeading2"/>
      </w:pPr>
      <w:bookmarkStart w:id="124" w:name="_Toc433481216"/>
      <w:bookmarkStart w:id="125" w:name="_Toc433718130"/>
      <w:bookmarkStart w:id="126" w:name="_Toc434744496"/>
      <w:bookmarkStart w:id="127" w:name="_Toc434744497"/>
      <w:bookmarkStart w:id="128" w:name="_Toc436140052"/>
      <w:bookmarkStart w:id="129" w:name="_Toc443491678"/>
      <w:bookmarkStart w:id="130" w:name="_Toc453079764"/>
      <w:bookmarkEnd w:id="124"/>
      <w:bookmarkEnd w:id="125"/>
      <w:bookmarkEnd w:id="126"/>
      <w:r w:rsidRPr="00C85192">
        <w:t>A SZERKEZET MEGHATÁROZÁSA</w:t>
      </w:r>
      <w:r>
        <w:t>:</w:t>
      </w:r>
      <w:r w:rsidRPr="00C85192">
        <w:t xml:space="preserve"> Az NVH-értékelés keretrendszerének megtervezése</w:t>
      </w:r>
      <w:bookmarkEnd w:id="127"/>
      <w:bookmarkEnd w:id="128"/>
      <w:bookmarkEnd w:id="129"/>
      <w:bookmarkEnd w:id="130"/>
    </w:p>
    <w:p w:rsidR="00170A1A" w:rsidRPr="00C85192" w:rsidRDefault="00170A1A" w:rsidP="00320BBA">
      <w:pPr>
        <w:pStyle w:val="HStandard"/>
      </w:pPr>
      <w:r w:rsidRPr="00C85192">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rsidRPr="00C85192">
        <w:fldChar w:fldCharType="begin" w:fldLock="1"/>
      </w:r>
      <w:r w:rsidRPr="00C85192">
        <w:instrText xml:space="preserve"> REF _Ref433724277 \r \h </w:instrText>
      </w:r>
      <w:r>
        <w:instrText xml:space="preserve"> \* MERGEFORMAT </w:instrText>
      </w:r>
      <w:r w:rsidRPr="00C85192">
        <w:fldChar w:fldCharType="separate"/>
      </w:r>
      <w:r w:rsidRPr="00C85192">
        <w:t>Figure 19</w:t>
      </w:r>
      <w:r w:rsidRPr="00C85192">
        <w:fldChar w:fldCharType="end"/>
      </w:r>
      <w:r w:rsidRPr="00C85192">
        <w:t>):</w:t>
      </w:r>
    </w:p>
    <w:p w:rsidR="00170A1A" w:rsidRPr="00C85192" w:rsidRDefault="00170A1A" w:rsidP="00320BBA">
      <w:pPr>
        <w:pStyle w:val="Hlistbullet2"/>
      </w:pPr>
      <w:r w:rsidRPr="00C85192">
        <w:t>Revisit the coherence and relevance of the intervention logic</w:t>
      </w:r>
    </w:p>
    <w:p w:rsidR="00170A1A" w:rsidRPr="00C85192" w:rsidRDefault="00170A1A" w:rsidP="00320BBA">
      <w:pPr>
        <w:pStyle w:val="Hlistbullet2"/>
      </w:pPr>
      <w:r w:rsidRPr="00C85192">
        <w:t>Review the consistency of evaluation questions and indicators with the intervention logic</w:t>
      </w:r>
    </w:p>
    <w:p w:rsidR="00170A1A" w:rsidRPr="00C85192" w:rsidRDefault="00170A1A" w:rsidP="00320BBA">
      <w:pPr>
        <w:pStyle w:val="Hlistbullet2"/>
      </w:pPr>
      <w:r w:rsidRPr="00C85192">
        <w:t>Choose the appropriate evaluation approach, method(s) and tools</w:t>
      </w:r>
    </w:p>
    <w:p w:rsidR="00170A1A" w:rsidRPr="00C85192" w:rsidRDefault="00170A1A" w:rsidP="00320BBA">
      <w:pPr>
        <w:pStyle w:val="Hlistbullet2"/>
      </w:pPr>
      <w:r w:rsidRPr="00C85192">
        <w:t>Establish the evidence for evaluation.</w:t>
      </w:r>
    </w:p>
    <w:p w:rsidR="00170A1A" w:rsidRPr="00C85192" w:rsidRDefault="00170A1A" w:rsidP="00320BBA">
      <w:pPr>
        <w:pStyle w:val="HHeadingfigures"/>
      </w:pPr>
      <w:bookmarkStart w:id="131" w:name="_Toc436383165"/>
      <w:bookmarkStart w:id="132" w:name="_Toc436140073"/>
      <w:bookmarkStart w:id="133" w:name="_Toc451781937"/>
      <w:r w:rsidRPr="00C85192">
        <w:t>The structuring phase</w:t>
      </w:r>
      <w:bookmarkEnd w:id="131"/>
      <w:r w:rsidRPr="00C85192">
        <w:t xml:space="preserve"> </w:t>
      </w:r>
      <w:bookmarkEnd w:id="132"/>
      <w:r w:rsidRPr="00C85192">
        <w:t>in four steps</w:t>
      </w:r>
      <w:bookmarkEnd w:id="133"/>
    </w:p>
    <w:p w:rsidR="00170A1A" w:rsidRPr="00C85192" w:rsidRDefault="00170A1A" w:rsidP="00320BBA">
      <w:pPr>
        <w:jc w:val="center"/>
      </w:pPr>
      <w:r w:rsidRPr="00C85192">
        <w:rPr>
          <w:noProof/>
          <w:lang w:eastAsia="en-GB"/>
        </w:rPr>
        <w:drawing>
          <wp:inline distT="0" distB="0" distL="0" distR="0" wp14:anchorId="285AA25F" wp14:editId="3813CD49">
            <wp:extent cx="5731510" cy="245745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170A1A" w:rsidRPr="00C85192" w:rsidRDefault="00170A1A" w:rsidP="00320BBA">
      <w:pPr>
        <w:pStyle w:val="HSource"/>
      </w:pPr>
      <w:r w:rsidRPr="00C85192">
        <w:t>Source: European Evaluation Helpdesk for Rural Development, 2016</w:t>
      </w:r>
    </w:p>
    <w:p w:rsidR="00170A1A" w:rsidRPr="00C85192" w:rsidRDefault="00170A1A" w:rsidP="00642574">
      <w:pPr>
        <w:pStyle w:val="HHeading3"/>
      </w:pPr>
      <w:bookmarkStart w:id="134" w:name="_Toc434744498"/>
      <w:bookmarkStart w:id="135" w:name="_Toc436140053"/>
      <w:bookmarkStart w:id="136" w:name="_Toc443491679"/>
      <w:bookmarkStart w:id="137" w:name="_Toc453079765"/>
      <w:r w:rsidRPr="00C85192">
        <w:t>Az NVH(P) beavatkozási logikájának felülvizsgálata</w:t>
      </w:r>
      <w:bookmarkEnd w:id="134"/>
      <w:bookmarkEnd w:id="135"/>
      <w:bookmarkEnd w:id="136"/>
      <w:bookmarkEnd w:id="137"/>
    </w:p>
    <w:p w:rsidR="00170A1A" w:rsidRPr="00C85192" w:rsidRDefault="00170A1A" w:rsidP="00975D9B">
      <w:pPr>
        <w:pStyle w:val="HHeading5"/>
      </w:pPr>
      <w:r w:rsidRPr="00C85192">
        <w:t>Is there always an explicit intervention logic?</w:t>
      </w:r>
    </w:p>
    <w:p w:rsidR="00170A1A" w:rsidRPr="00C85192" w:rsidRDefault="00170A1A" w:rsidP="00320BBA">
      <w:pPr>
        <w:pStyle w:val="HStandard"/>
      </w:pPr>
      <w:r w:rsidRPr="00C85192">
        <w:t xml:space="preserve">By default, the intervention logic of NRNPs has been constructed during the programme design phase and its consistency and relevance assessed during the ex ante evaluation (See: </w:t>
      </w:r>
      <w:r w:rsidRPr="00C85192">
        <w:rPr>
          <w:b/>
          <w:color w:val="E7E6E6" w:themeColor="background2"/>
        </w:rPr>
        <w:t>PART I</w:t>
      </w:r>
      <w:r w:rsidRPr="00C85192">
        <w:t>, chapter 2.2.2).</w:t>
      </w:r>
    </w:p>
    <w:p w:rsidR="00170A1A" w:rsidRPr="00C85192" w:rsidRDefault="00170A1A" w:rsidP="00320BBA">
      <w:pPr>
        <w:pStyle w:val="HStandard"/>
      </w:pPr>
      <w:r w:rsidRPr="00C85192">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sidRPr="00C85192">
        <w:rPr>
          <w:b/>
          <w:color w:val="E7E6E6" w:themeColor="background2"/>
        </w:rPr>
        <w:t>PART I</w:t>
      </w:r>
      <w:r w:rsidRPr="00C85192">
        <w:t xml:space="preserve">, Chapter 2.2.2). </w:t>
      </w:r>
    </w:p>
    <w:p w:rsidR="00170A1A" w:rsidRPr="00C85192" w:rsidRDefault="00170A1A" w:rsidP="00320BBA">
      <w:pPr>
        <w:pStyle w:val="HStandard"/>
      </w:pPr>
      <w:r w:rsidRPr="00C85192">
        <w:lastRenderedPageBreak/>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sidRPr="00C85192">
        <w:rPr>
          <w:i/>
        </w:rPr>
        <w:t xml:space="preserve"> </w:t>
      </w:r>
      <w:r w:rsidRPr="00C85192">
        <w:t>done, how could it be modelled</w:t>
      </w:r>
      <w:r w:rsidRPr="00C85192">
        <w:rPr>
          <w:i/>
        </w:rPr>
        <w:t>?”</w:t>
      </w:r>
      <w:r w:rsidRPr="00C85192">
        <w:t xml:space="preserve"> </w:t>
      </w:r>
      <w:r w:rsidRPr="00C85192">
        <w:rPr>
          <w:b/>
          <w:color w:val="E7E6E6" w:themeColor="background2"/>
        </w:rPr>
        <w:t>PART I</w:t>
      </w:r>
      <w:r w:rsidRPr="00C85192">
        <w:t>, chapter 2.2.2 offers guidance on the construction of the intervention logic by the NSU/MA during the preparation phase of the evaluation.</w:t>
      </w:r>
    </w:p>
    <w:p w:rsidR="00170A1A" w:rsidRPr="00C85192" w:rsidRDefault="00170A1A" w:rsidP="00975D9B">
      <w:pPr>
        <w:pStyle w:val="HHeading5"/>
      </w:pPr>
      <w:r w:rsidRPr="00C85192">
        <w:t>What is meant by the theory of change?</w:t>
      </w:r>
    </w:p>
    <w:p w:rsidR="00170A1A" w:rsidRPr="00C85192" w:rsidRDefault="00170A1A" w:rsidP="00320BBA">
      <w:pPr>
        <w:pStyle w:val="HStandard"/>
      </w:pPr>
      <w:r w:rsidRPr="00C85192">
        <w:t xml:space="preserve">The </w:t>
      </w:r>
      <w:r w:rsidRPr="00C85192">
        <w:rPr>
          <w:b/>
        </w:rPr>
        <w:t>theory of change</w:t>
      </w:r>
      <w:r w:rsidRPr="00C85192">
        <w:rPr>
          <w:rFonts w:ascii="ZWAdobeF" w:hAnsi="ZWAdobeF"/>
          <w:color w:val="auto"/>
          <w:sz w:val="2"/>
          <w:szCs w:val="2"/>
        </w:rPr>
        <w:t>86F</w:t>
      </w:r>
      <w:r>
        <w:rPr>
          <w:rFonts w:ascii="ZWAdobeF" w:hAnsi="ZWAdobeF" w:cs="ZWAdobeF"/>
          <w:color w:val="auto"/>
          <w:sz w:val="2"/>
          <w:szCs w:val="2"/>
        </w:rPr>
        <w:t>86F</w:t>
      </w:r>
      <w:r w:rsidRPr="008D0759">
        <w:rPr>
          <w:rStyle w:val="FootnoteReference"/>
        </w:rPr>
        <w:footnoteReference w:id="87"/>
      </w:r>
      <w:r w:rsidRPr="00C85192">
        <w:t>:</w:t>
      </w:r>
    </w:p>
    <w:p w:rsidR="00170A1A" w:rsidRPr="00C85192" w:rsidRDefault="00170A1A" w:rsidP="004C05DD">
      <w:pPr>
        <w:pStyle w:val="Hlistbullet2"/>
      </w:pPr>
      <w:r w:rsidRPr="00C85192">
        <w:t>rests on the assumption that NRNs and NRNPs are based on the explicit or implicit theory of policy makers concerning how and why NRN activities lead to the intended changes anticipated;</w:t>
      </w:r>
    </w:p>
    <w:p w:rsidR="00170A1A" w:rsidRPr="00C85192" w:rsidRDefault="00170A1A" w:rsidP="004C05DD">
      <w:pPr>
        <w:pStyle w:val="Hlistbullet2"/>
      </w:pPr>
      <w:r w:rsidRPr="00C85192">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170A1A" w:rsidRPr="00C85192" w:rsidRDefault="00170A1A" w:rsidP="004C05DD">
      <w:pPr>
        <w:pStyle w:val="HStandard"/>
        <w:rPr>
          <w:color w:val="538135" w:themeColor="accent6" w:themeShade="BF"/>
        </w:rPr>
      </w:pPr>
      <w:r w:rsidRPr="00C85192">
        <w:t>In rural development evaluation, the theory of change is depicted as a model, which we call intervention logic</w:t>
      </w:r>
      <w:r w:rsidRPr="00C85192">
        <w:rPr>
          <w:rFonts w:ascii="ZWAdobeF" w:hAnsi="ZWAdobeF"/>
          <w:color w:val="auto"/>
          <w:sz w:val="2"/>
          <w:szCs w:val="2"/>
        </w:rPr>
        <w:t>87F</w:t>
      </w:r>
      <w:r w:rsidRPr="008D0759">
        <w:rPr>
          <w:rStyle w:val="FootnoteReference"/>
        </w:rPr>
        <w:footnoteReference w:id="88"/>
      </w:r>
      <w:r w:rsidRPr="00C85192">
        <w:t xml:space="preserve">. </w:t>
      </w:r>
    </w:p>
    <w:p w:rsidR="00170A1A" w:rsidRPr="00C85192" w:rsidRDefault="00170A1A" w:rsidP="00975D9B">
      <w:pPr>
        <w:pStyle w:val="HHeading5"/>
      </w:pPr>
      <w:r w:rsidRPr="00C85192">
        <w:t>How should the intervention logic be revisited?</w:t>
      </w:r>
    </w:p>
    <w:p w:rsidR="00170A1A" w:rsidRPr="00C85192" w:rsidRDefault="00170A1A" w:rsidP="004C05DD">
      <w:pPr>
        <w:pStyle w:val="HStandard"/>
      </w:pPr>
      <w:r w:rsidRPr="00C85192">
        <w:t xml:space="preserve">The structuring phase starts with revisiting (validating) the NRN intervention logic. It is necessary to re-check the relevance and coherence of the intervention logic with regard to the NRN objectives and Action Plan. </w:t>
      </w:r>
    </w:p>
    <w:p w:rsidR="00170A1A" w:rsidRPr="00C85192" w:rsidRDefault="00170A1A" w:rsidP="004C05DD">
      <w:pPr>
        <w:pStyle w:val="HStandard"/>
      </w:pPr>
      <w:r w:rsidRPr="00C85192">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170A1A" w:rsidRPr="00C85192" w:rsidRDefault="00170A1A" w:rsidP="004C05DD">
      <w:pPr>
        <w:pStyle w:val="HStandard"/>
      </w:pPr>
      <w:r w:rsidRPr="00C85192">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4C05DD">
        <w:tc>
          <w:tcPr>
            <w:tcW w:w="9016" w:type="dxa"/>
            <w:shd w:val="clear" w:color="auto" w:fill="F5F4F4" w:themeFill="background2" w:themeFillTint="66"/>
          </w:tcPr>
          <w:p w:rsidR="00170A1A" w:rsidRPr="00C85192" w:rsidRDefault="00170A1A" w:rsidP="004C05DD">
            <w:pPr>
              <w:pStyle w:val="HStandard"/>
            </w:pPr>
            <w:r w:rsidRPr="00C85192">
              <w:t xml:space="preserve">A beavatkozási logika felülvizsgálatának kulcskérdései: </w:t>
            </w:r>
          </w:p>
          <w:p w:rsidR="00170A1A" w:rsidRPr="00C85192" w:rsidRDefault="00170A1A" w:rsidP="00170A1A">
            <w:pPr>
              <w:pStyle w:val="Hlistbullet"/>
            </w:pPr>
            <w:r w:rsidRPr="00C85192">
              <w:t xml:space="preserve">Történt-e változás a vizsgálat kezdetén meghatározott háttérben és igényekben? </w:t>
            </w:r>
          </w:p>
          <w:p w:rsidR="00170A1A" w:rsidRPr="00C85192" w:rsidRDefault="00170A1A" w:rsidP="00170A1A">
            <w:pPr>
              <w:pStyle w:val="Hlistbullet"/>
            </w:pPr>
            <w:r w:rsidRPr="00C85192">
              <w:t xml:space="preserve">Figyelembe vették az összes átfogó (szakpolitikai) célkitűzést? </w:t>
            </w:r>
          </w:p>
          <w:p w:rsidR="00170A1A" w:rsidRPr="00C85192" w:rsidRDefault="00170A1A" w:rsidP="00170A1A">
            <w:pPr>
              <w:pStyle w:val="Hlistbullet"/>
            </w:pPr>
            <w:r w:rsidRPr="00C85192">
              <w:t xml:space="preserve">Az összes konkrét és operatív célkitűzés meghatározása és megjelölése helyes? </w:t>
            </w:r>
          </w:p>
          <w:p w:rsidR="00170A1A" w:rsidRPr="00C85192" w:rsidRDefault="00170A1A" w:rsidP="00170A1A">
            <w:pPr>
              <w:pStyle w:val="Hlistbullet"/>
            </w:pPr>
            <w:r w:rsidRPr="00C85192">
              <w:t>Figyelembe vettek minden (közös és NVH-specifikus) intézkedéscsoportot?</w:t>
            </w:r>
          </w:p>
          <w:p w:rsidR="00170A1A" w:rsidRPr="00C85192" w:rsidRDefault="00170A1A" w:rsidP="00170A1A">
            <w:pPr>
              <w:pStyle w:val="Hlistbullet"/>
            </w:pPr>
            <w:r w:rsidRPr="00C85192">
              <w:t xml:space="preserve">Minden operatív célkitűzés megfelelő kimenethez kapcsolódik? </w:t>
            </w:r>
          </w:p>
          <w:p w:rsidR="00170A1A" w:rsidRPr="00C85192" w:rsidRDefault="00170A1A" w:rsidP="00170A1A">
            <w:pPr>
              <w:pStyle w:val="Hlistbullet"/>
            </w:pPr>
            <w:r w:rsidRPr="00C85192">
              <w:t>Minden konkrét célkitűzés megfelelő eredményhez kapcsolódik?</w:t>
            </w:r>
          </w:p>
          <w:p w:rsidR="00170A1A" w:rsidRPr="00C85192" w:rsidRDefault="00170A1A" w:rsidP="00170A1A">
            <w:pPr>
              <w:pStyle w:val="Hlistbullet"/>
            </w:pPr>
            <w:r w:rsidRPr="00C85192">
              <w:t>Az azonosított hatások megfelelnek az átfogó célkitűzéseknek?</w:t>
            </w:r>
          </w:p>
        </w:tc>
      </w:tr>
    </w:tbl>
    <w:p w:rsidR="00170A1A" w:rsidRPr="00C85192" w:rsidRDefault="00170A1A" w:rsidP="00975D9B">
      <w:pPr>
        <w:pStyle w:val="HHeading5"/>
      </w:pPr>
      <w:r w:rsidRPr="00C85192">
        <w:t>Melyek az NVH beavatkozási  logikája felülvizsgálatának fő lépései?</w:t>
      </w:r>
    </w:p>
    <w:p w:rsidR="00170A1A" w:rsidRPr="00C85192" w:rsidRDefault="00170A1A" w:rsidP="004C05DD">
      <w:pPr>
        <w:pStyle w:val="HStandard"/>
      </w:pPr>
      <w:r w:rsidRPr="00C85192">
        <w:t xml:space="preserve">Az NVH beavatkozási logikájának felülvizsgálatához javasolt lépések és azok várt eredményei a következők: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C85192" w:rsidTr="004C05DD">
        <w:tc>
          <w:tcPr>
            <w:tcW w:w="988" w:type="dxa"/>
            <w:shd w:val="clear" w:color="auto" w:fill="E7E6E6" w:themeFill="background2"/>
          </w:tcPr>
          <w:p w:rsidR="00170A1A" w:rsidRPr="00C85192" w:rsidRDefault="00170A1A" w:rsidP="004C05DD">
            <w:pPr>
              <w:pStyle w:val="HStandard"/>
              <w:jc w:val="center"/>
              <w:rPr>
                <w:b/>
                <w:color w:val="FFFFFF"/>
                <w:sz w:val="18"/>
                <w:szCs w:val="18"/>
              </w:rPr>
            </w:pPr>
            <w:r w:rsidRPr="00C85192">
              <w:rPr>
                <w:b/>
                <w:color w:val="FFFFFF"/>
                <w:sz w:val="18"/>
                <w:szCs w:val="18"/>
              </w:rPr>
              <w:t>1.</w:t>
            </w:r>
          </w:p>
        </w:tc>
        <w:tc>
          <w:tcPr>
            <w:tcW w:w="8028" w:type="dxa"/>
          </w:tcPr>
          <w:p w:rsidR="00170A1A" w:rsidRPr="00C85192" w:rsidRDefault="00170A1A" w:rsidP="00F53E01">
            <w:pPr>
              <w:pStyle w:val="Hlistbullet"/>
              <w:numPr>
                <w:ilvl w:val="0"/>
                <w:numId w:val="0"/>
              </w:numPr>
              <w:spacing w:before="0" w:line="280" w:lineRule="atLeast"/>
              <w:jc w:val="left"/>
              <w:rPr>
                <w:sz w:val="18"/>
                <w:szCs w:val="18"/>
              </w:rPr>
            </w:pPr>
            <w:r w:rsidRPr="00C85192">
              <w:rPr>
                <w:sz w:val="18"/>
                <w:szCs w:val="18"/>
              </w:rPr>
              <w:t>az NVH működési területének hátterében és egyedi igényeiben bekövetkezett változások értékelése;</w:t>
            </w:r>
          </w:p>
        </w:tc>
      </w:tr>
      <w:tr w:rsidR="00170A1A" w:rsidRPr="00C85192" w:rsidTr="004C05DD">
        <w:tc>
          <w:tcPr>
            <w:tcW w:w="988" w:type="dxa"/>
            <w:shd w:val="clear" w:color="auto" w:fill="E7E6E6" w:themeFill="background2"/>
          </w:tcPr>
          <w:p w:rsidR="00170A1A" w:rsidRPr="00C85192" w:rsidRDefault="00170A1A" w:rsidP="004C05DD">
            <w:pPr>
              <w:pStyle w:val="HStandard"/>
              <w:jc w:val="center"/>
              <w:rPr>
                <w:b/>
                <w:color w:val="FFFFFF"/>
                <w:sz w:val="18"/>
                <w:szCs w:val="18"/>
              </w:rPr>
            </w:pPr>
            <w:r w:rsidRPr="00C85192">
              <w:rPr>
                <w:b/>
                <w:color w:val="FFFFFF"/>
                <w:sz w:val="18"/>
                <w:szCs w:val="18"/>
              </w:rPr>
              <w:lastRenderedPageBreak/>
              <w:t>2.</w:t>
            </w:r>
          </w:p>
        </w:tc>
        <w:tc>
          <w:tcPr>
            <w:tcW w:w="8028" w:type="dxa"/>
          </w:tcPr>
          <w:p w:rsidR="00170A1A" w:rsidRPr="00C85192" w:rsidRDefault="00170A1A" w:rsidP="005E113C">
            <w:pPr>
              <w:pStyle w:val="HStandard"/>
              <w:jc w:val="left"/>
              <w:rPr>
                <w:b/>
                <w:i/>
                <w:sz w:val="18"/>
                <w:szCs w:val="18"/>
              </w:rPr>
            </w:pPr>
            <w:r w:rsidRPr="00C85192">
              <w:rPr>
                <w:sz w:val="18"/>
                <w:szCs w:val="18"/>
              </w:rPr>
              <w:t>a közös és programspecifikus NVH-célkitűzések és intézkedéscsoportok relevanciájának, valamint a közöttük lévő kapcsolatoknak a felülvizsgálata a háttérben és az igényekben tapasztalt változások tekintetében;</w:t>
            </w:r>
          </w:p>
        </w:tc>
      </w:tr>
      <w:tr w:rsidR="00170A1A" w:rsidRPr="00C85192" w:rsidTr="004C05DD">
        <w:tc>
          <w:tcPr>
            <w:tcW w:w="988" w:type="dxa"/>
            <w:shd w:val="clear" w:color="auto" w:fill="E7E6E6" w:themeFill="background2"/>
          </w:tcPr>
          <w:p w:rsidR="00170A1A" w:rsidRPr="00C85192" w:rsidRDefault="00170A1A" w:rsidP="004C05DD">
            <w:pPr>
              <w:pStyle w:val="HStandard"/>
              <w:jc w:val="center"/>
              <w:rPr>
                <w:b/>
                <w:color w:val="FFFFFF"/>
                <w:sz w:val="18"/>
                <w:szCs w:val="18"/>
              </w:rPr>
            </w:pPr>
            <w:r w:rsidRPr="00C85192">
              <w:rPr>
                <w:b/>
                <w:color w:val="FFFFFF"/>
                <w:sz w:val="18"/>
                <w:szCs w:val="18"/>
              </w:rPr>
              <w:t>3.</w:t>
            </w:r>
          </w:p>
        </w:tc>
        <w:tc>
          <w:tcPr>
            <w:tcW w:w="8028" w:type="dxa"/>
          </w:tcPr>
          <w:p w:rsidR="00170A1A" w:rsidRPr="00C85192" w:rsidRDefault="00170A1A" w:rsidP="004C05DD">
            <w:pPr>
              <w:pStyle w:val="Hlistbullet"/>
              <w:numPr>
                <w:ilvl w:val="0"/>
                <w:numId w:val="0"/>
              </w:numPr>
              <w:spacing w:before="0" w:line="280" w:lineRule="atLeast"/>
              <w:jc w:val="left"/>
              <w:rPr>
                <w:sz w:val="18"/>
                <w:szCs w:val="18"/>
              </w:rPr>
            </w:pPr>
            <w:r w:rsidRPr="00C85192">
              <w:rPr>
                <w:sz w:val="18"/>
                <w:szCs w:val="18"/>
              </w:rPr>
              <w:t>Az NVH várt kihatásai, kimenetei, eredményei, valamint hatásai közötti lánc és ezek relevanciájának felülvizsgálata;</w:t>
            </w:r>
          </w:p>
        </w:tc>
      </w:tr>
      <w:tr w:rsidR="00170A1A" w:rsidRPr="00C85192" w:rsidTr="004C05DD">
        <w:tc>
          <w:tcPr>
            <w:tcW w:w="988" w:type="dxa"/>
            <w:shd w:val="clear" w:color="auto" w:fill="E7E6E6" w:themeFill="background2"/>
          </w:tcPr>
          <w:p w:rsidR="00170A1A" w:rsidRPr="00C85192" w:rsidRDefault="00170A1A" w:rsidP="004C05DD">
            <w:pPr>
              <w:pStyle w:val="HStandard"/>
              <w:jc w:val="center"/>
              <w:rPr>
                <w:b/>
                <w:color w:val="FFFFFF"/>
                <w:sz w:val="18"/>
                <w:szCs w:val="18"/>
              </w:rPr>
            </w:pPr>
            <w:r w:rsidRPr="00C85192">
              <w:rPr>
                <w:b/>
                <w:color w:val="FFFFFF"/>
                <w:sz w:val="18"/>
                <w:szCs w:val="18"/>
              </w:rPr>
              <w:t>4.</w:t>
            </w:r>
          </w:p>
        </w:tc>
        <w:tc>
          <w:tcPr>
            <w:tcW w:w="8028" w:type="dxa"/>
          </w:tcPr>
          <w:p w:rsidR="00170A1A" w:rsidRPr="00C85192" w:rsidRDefault="00170A1A" w:rsidP="005E113C">
            <w:pPr>
              <w:pStyle w:val="Hlistbullet"/>
              <w:numPr>
                <w:ilvl w:val="0"/>
                <w:numId w:val="0"/>
              </w:numPr>
              <w:tabs>
                <w:tab w:val="left" w:pos="317"/>
              </w:tabs>
              <w:spacing w:before="0" w:line="280" w:lineRule="atLeast"/>
              <w:jc w:val="left"/>
              <w:rPr>
                <w:sz w:val="18"/>
                <w:szCs w:val="18"/>
              </w:rPr>
            </w:pPr>
            <w:r w:rsidRPr="00C85192">
              <w:rPr>
                <w:sz w:val="18"/>
                <w:szCs w:val="18"/>
              </w:rPr>
              <w:t>a vízszintes és függőleges konzisztencia ellenőrzése egyfelől a közös és programspecifikus NVH-célkitűzések/intézkedéscsoportok, másfelől a várt kimenetek, eredmények és hatások között;</w:t>
            </w:r>
          </w:p>
        </w:tc>
      </w:tr>
      <w:tr w:rsidR="00170A1A" w:rsidRPr="00C85192" w:rsidTr="004C05DD">
        <w:tc>
          <w:tcPr>
            <w:tcW w:w="988" w:type="dxa"/>
            <w:shd w:val="clear" w:color="auto" w:fill="E7E6E6" w:themeFill="background2"/>
          </w:tcPr>
          <w:p w:rsidR="00170A1A" w:rsidRPr="00C85192" w:rsidRDefault="00170A1A" w:rsidP="004C05DD">
            <w:pPr>
              <w:pStyle w:val="HStandard"/>
              <w:jc w:val="center"/>
              <w:rPr>
                <w:color w:val="FFFFFF"/>
                <w:sz w:val="18"/>
                <w:szCs w:val="18"/>
              </w:rPr>
            </w:pPr>
            <w:r w:rsidRPr="00C85192">
              <w:rPr>
                <w:color w:val="FFFFFF"/>
                <w:sz w:val="18"/>
                <w:szCs w:val="18"/>
              </w:rPr>
              <w:t>5.</w:t>
            </w:r>
          </w:p>
        </w:tc>
        <w:tc>
          <w:tcPr>
            <w:tcW w:w="8028" w:type="dxa"/>
          </w:tcPr>
          <w:p w:rsidR="00170A1A" w:rsidRPr="00C85192" w:rsidRDefault="00170A1A" w:rsidP="004C05DD">
            <w:pPr>
              <w:pStyle w:val="Hlistbullet"/>
              <w:numPr>
                <w:ilvl w:val="0"/>
                <w:numId w:val="0"/>
              </w:numPr>
              <w:spacing w:before="0" w:line="280" w:lineRule="atLeast"/>
              <w:jc w:val="left"/>
              <w:rPr>
                <w:sz w:val="18"/>
                <w:szCs w:val="18"/>
              </w:rPr>
            </w:pPr>
            <w:r w:rsidRPr="00C85192">
              <w:rPr>
                <w:sz w:val="18"/>
                <w:szCs w:val="18"/>
              </w:rPr>
              <w:t>Szükség esetén a beavatkozási logika újrafogalmazása és kiigazítása.</w:t>
            </w:r>
          </w:p>
        </w:tc>
      </w:tr>
      <w:tr w:rsidR="00170A1A" w:rsidRPr="00C85192" w:rsidTr="004C05DD">
        <w:tc>
          <w:tcPr>
            <w:tcW w:w="9016" w:type="dxa"/>
            <w:gridSpan w:val="2"/>
            <w:shd w:val="clear" w:color="auto" w:fill="auto"/>
          </w:tcPr>
          <w:p w:rsidR="00170A1A" w:rsidRPr="00C85192" w:rsidRDefault="00170A1A" w:rsidP="004C05DD">
            <w:pPr>
              <w:pStyle w:val="HStandard"/>
              <w:jc w:val="left"/>
              <w:rPr>
                <w:sz w:val="18"/>
                <w:szCs w:val="18"/>
              </w:rPr>
            </w:pPr>
            <w:r w:rsidRPr="00C85192">
              <w:rPr>
                <w:b/>
                <w:sz w:val="18"/>
                <w:szCs w:val="18"/>
              </w:rPr>
              <w:t>Várt eredmény:</w:t>
            </w:r>
            <w:r w:rsidRPr="00C85192">
              <w:rPr>
                <w:sz w:val="18"/>
                <w:szCs w:val="18"/>
              </w:rPr>
              <w:t xml:space="preserve"> az értékelés alapját képező NVH-beavatkozási</w:t>
            </w:r>
            <w:r>
              <w:rPr>
                <w:sz w:val="18"/>
                <w:szCs w:val="18"/>
              </w:rPr>
              <w:t xml:space="preserve"> </w:t>
            </w:r>
            <w:r w:rsidRPr="00C85192">
              <w:rPr>
                <w:sz w:val="18"/>
                <w:szCs w:val="18"/>
              </w:rPr>
              <w:t>logika igazolt vízszintes és függőleges konzisztenciája, valamint relevanciája.</w:t>
            </w:r>
          </w:p>
        </w:tc>
      </w:tr>
    </w:tbl>
    <w:p w:rsidR="00170A1A" w:rsidRPr="00C85192" w:rsidRDefault="00170A1A" w:rsidP="004C05DD">
      <w:pPr>
        <w:pStyle w:val="HStandard"/>
      </w:pPr>
      <w:r w:rsidRPr="00C85192">
        <w:t>The above steps are detailed below.</w:t>
      </w:r>
    </w:p>
    <w:p w:rsidR="00170A1A" w:rsidRPr="00C85192" w:rsidRDefault="00170A1A" w:rsidP="004C05DD">
      <w:pPr>
        <w:pStyle w:val="HHeading5"/>
        <w:rPr>
          <w:color w:val="ED7D31" w:themeColor="accent2"/>
        </w:rPr>
      </w:pPr>
      <w:r w:rsidRPr="00C85192">
        <w:rPr>
          <w:color w:val="ED7D31" w:themeColor="accent2"/>
        </w:rPr>
        <w:t>Step 1 - Assess changes in context and needs</w:t>
      </w:r>
    </w:p>
    <w:p w:rsidR="00170A1A" w:rsidRPr="00C85192" w:rsidRDefault="00170A1A" w:rsidP="004C05DD">
      <w:pPr>
        <w:pStyle w:val="HStandard"/>
      </w:pPr>
      <w:r w:rsidRPr="00C85192">
        <w:t>NRNs operate within the context of rural areas. This context is characterised through a thorough situational description, SWOT and needs assessment. The situation in networking is depicted with the set of context parameters</w:t>
      </w:r>
      <w:r w:rsidRPr="00C85192">
        <w:rPr>
          <w:rFonts w:ascii="ZWAdobeF" w:hAnsi="ZWAdobeF"/>
          <w:color w:val="auto"/>
          <w:sz w:val="2"/>
          <w:szCs w:val="2"/>
        </w:rPr>
        <w:t>8</w:t>
      </w:r>
      <w:r w:rsidRPr="008D0759">
        <w:rPr>
          <w:rStyle w:val="FootnoteReference"/>
        </w:rPr>
        <w:footnoteReference w:id="89"/>
      </w:r>
      <w:r w:rsidRPr="00C85192">
        <w:rPr>
          <w:rFonts w:ascii="ZWAdobeF" w:hAnsi="ZWAdobeF"/>
          <w:color w:val="auto"/>
          <w:sz w:val="2"/>
          <w:szCs w:val="2"/>
        </w:rPr>
        <w:t>8F</w:t>
      </w:r>
      <w:r w:rsidRPr="00C85192">
        <w:t xml:space="preserve">. Changes in the programme and network context may imply changes in the scope of NRN objectives and interventions and therefore in the intervention logic. </w:t>
      </w:r>
    </w:p>
    <w:p w:rsidR="00170A1A" w:rsidRPr="00C85192" w:rsidRDefault="00170A1A" w:rsidP="004C05DD">
      <w:pPr>
        <w:pStyle w:val="HStandard"/>
      </w:pPr>
      <w:r w:rsidRPr="00C85192">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170A1A" w:rsidRPr="00C85192" w:rsidRDefault="00170A1A" w:rsidP="004C05DD">
      <w:pPr>
        <w:pStyle w:val="HHeading5"/>
        <w:rPr>
          <w:color w:val="ED7D31" w:themeColor="accent2"/>
        </w:rPr>
      </w:pPr>
      <w:r w:rsidRPr="00C85192">
        <w:rPr>
          <w:color w:val="ED7D31" w:themeColor="accent2"/>
        </w:rPr>
        <w:t>Step 2 - Revisit the relevance of NRN objectives and groups of actions and linkages between them</w:t>
      </w:r>
    </w:p>
    <w:p w:rsidR="00170A1A" w:rsidRPr="00C85192" w:rsidRDefault="00170A1A" w:rsidP="004C05DD">
      <w:pPr>
        <w:pStyle w:val="HStandard"/>
      </w:pPr>
      <w:r w:rsidRPr="00C85192">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170A1A" w:rsidRPr="00C85192" w:rsidRDefault="00170A1A" w:rsidP="004C05DD">
      <w:pPr>
        <w:pStyle w:val="HStandard"/>
      </w:pPr>
      <w:r w:rsidRPr="00C85192">
        <w:t xml:space="preserve">The common NRN objectives and groups of actions are complemented with programme-specific NRN objectives and groups of actions in the preparation of NRN evaluation. (See also </w:t>
      </w:r>
      <w:r w:rsidRPr="00C85192">
        <w:rPr>
          <w:b/>
          <w:color w:val="E7E6E6" w:themeColor="background2"/>
        </w:rPr>
        <w:t>PART I</w:t>
      </w:r>
      <w:r w:rsidRPr="00C85192">
        <w:t xml:space="preserve">, chapter 2.2.2). </w:t>
      </w:r>
    </w:p>
    <w:p w:rsidR="00170A1A" w:rsidRPr="00C85192" w:rsidRDefault="00170A1A" w:rsidP="004C05DD">
      <w:pPr>
        <w:pStyle w:val="HStandard"/>
      </w:pPr>
      <w:r w:rsidRPr="00C85192">
        <w:t>During the review of the intervention logic the validity of proposed programme-specific NRN objectives and activities will be checked against any changes concerning the context to assess:</w:t>
      </w:r>
    </w:p>
    <w:p w:rsidR="00170A1A" w:rsidRPr="00C85192" w:rsidRDefault="00170A1A" w:rsidP="004C05DD">
      <w:pPr>
        <w:pStyle w:val="Hlistbullet2"/>
      </w:pPr>
      <w:r w:rsidRPr="00C85192">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sidRPr="00C85192">
        <w:rPr>
          <w:b/>
          <w:color w:val="E7E6E6" w:themeColor="background2"/>
        </w:rPr>
        <w:t>PART I</w:t>
      </w:r>
      <w:r w:rsidRPr="00C85192">
        <w:t>, Chapter 2.2.2);</w:t>
      </w:r>
    </w:p>
    <w:p w:rsidR="00170A1A" w:rsidRPr="00C85192" w:rsidRDefault="00170A1A" w:rsidP="004C05DD">
      <w:pPr>
        <w:pStyle w:val="Hlistbullet2"/>
      </w:pPr>
      <w:r w:rsidRPr="00C85192">
        <w:t>whether the respective level of hierarchy (overall, specific and operational objectives) and their inter-linkages are clear;</w:t>
      </w:r>
    </w:p>
    <w:p w:rsidR="00170A1A" w:rsidRPr="00C85192" w:rsidRDefault="00170A1A" w:rsidP="004C05DD">
      <w:pPr>
        <w:pStyle w:val="Hlistbullet2"/>
      </w:pPr>
      <w:r w:rsidRPr="00C85192">
        <w:t>the extent to which NRN objectives can plausibly be achieved with the groups of actions;</w:t>
      </w:r>
    </w:p>
    <w:p w:rsidR="00170A1A" w:rsidRPr="00C85192" w:rsidRDefault="00170A1A" w:rsidP="004C05DD">
      <w:pPr>
        <w:pStyle w:val="Hlistbullet2"/>
      </w:pPr>
      <w:r w:rsidRPr="00C85192">
        <w:t>whether the NRN(P) objectives are sufficiently clear and tangible as to be measured  by RACER</w:t>
      </w:r>
      <w:r w:rsidRPr="008D0759">
        <w:rPr>
          <w:rStyle w:val="FootnoteReference"/>
        </w:rPr>
        <w:footnoteReference w:id="90"/>
      </w:r>
      <w:r w:rsidRPr="00C85192">
        <w:rPr>
          <w:rFonts w:ascii="ZWAdobeF" w:hAnsi="ZWAdobeF"/>
          <w:color w:val="auto"/>
          <w:sz w:val="2"/>
          <w:szCs w:val="2"/>
        </w:rPr>
        <w:t>89F</w:t>
      </w:r>
      <w:r w:rsidRPr="00C85192">
        <w:t xml:space="preserve"> programme-specific indicators.</w:t>
      </w:r>
    </w:p>
    <w:p w:rsidR="00170A1A" w:rsidRPr="00C85192" w:rsidRDefault="00170A1A" w:rsidP="004C05DD">
      <w:pPr>
        <w:pStyle w:val="HHeading5"/>
        <w:rPr>
          <w:color w:val="ED7D31" w:themeColor="accent2"/>
        </w:rPr>
      </w:pPr>
      <w:r w:rsidRPr="00C85192">
        <w:rPr>
          <w:color w:val="ED7D31" w:themeColor="accent2"/>
        </w:rPr>
        <w:lastRenderedPageBreak/>
        <w:t xml:space="preserve">Step 3 - Revisit the chain between the NRN expected effects: outputs, results and impacts </w:t>
      </w:r>
    </w:p>
    <w:p w:rsidR="00170A1A" w:rsidRPr="00C85192" w:rsidRDefault="00170A1A" w:rsidP="004C05DD">
      <w:pPr>
        <w:pStyle w:val="HStandard"/>
      </w:pPr>
      <w:r w:rsidRPr="00C85192">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sidRPr="00C85192">
        <w:rPr>
          <w:b/>
          <w:color w:val="E7E6E6" w:themeColor="background2"/>
        </w:rPr>
        <w:t>PART III</w:t>
      </w:r>
      <w:r w:rsidRPr="00C85192">
        <w:t xml:space="preserve"> of the guidelines.</w:t>
      </w:r>
    </w:p>
    <w:p w:rsidR="00170A1A" w:rsidRPr="00C85192" w:rsidRDefault="00170A1A" w:rsidP="004C05DD">
      <w:pPr>
        <w:pStyle w:val="HStandard"/>
      </w:pPr>
      <w:r w:rsidRPr="00C85192">
        <w:t>Expected NRN effects are ideally defined during the preparation of NRN evaluation, but can be completed also during the structuring phase, respecting the possible changes in the context situation.</w:t>
      </w:r>
    </w:p>
    <w:p w:rsidR="00170A1A" w:rsidRPr="00C85192" w:rsidRDefault="00170A1A" w:rsidP="004C05DD">
      <w:pPr>
        <w:pStyle w:val="HHeading5"/>
        <w:rPr>
          <w:color w:val="ED7D31" w:themeColor="accent2"/>
        </w:rPr>
      </w:pPr>
      <w:r w:rsidRPr="00C85192">
        <w:rPr>
          <w:color w:val="ED7D31" w:themeColor="accent2"/>
        </w:rPr>
        <w:t>Step 4 - Check the horizontal and vertical consistency between NRN objectives and expected effects</w:t>
      </w:r>
    </w:p>
    <w:p w:rsidR="00170A1A" w:rsidRPr="00C85192" w:rsidRDefault="00170A1A" w:rsidP="004C05DD">
      <w:pPr>
        <w:pStyle w:val="HStandard"/>
      </w:pPr>
      <w:r w:rsidRPr="00C85192">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sidRPr="00C85192">
        <w:rPr>
          <w:b/>
          <w:color w:val="E7E6E6" w:themeColor="background2"/>
        </w:rPr>
        <w:t>PART I</w:t>
      </w:r>
      <w:r w:rsidRPr="00C85192">
        <w:t>, chapter 2.2.2.</w:t>
      </w:r>
    </w:p>
    <w:p w:rsidR="00170A1A" w:rsidRPr="00C85192" w:rsidRDefault="00170A1A" w:rsidP="004C05DD">
      <w:pPr>
        <w:pStyle w:val="HStandard"/>
      </w:pPr>
      <w:r w:rsidRPr="00C85192">
        <w:t xml:space="preserve">Besides the internal consistency of the NRN intervention logic, the evaluator should check also the external consistency of NRN intervention logic with the RDP and the EU objectives (See </w:t>
      </w:r>
      <w:r w:rsidRPr="00C85192">
        <w:fldChar w:fldCharType="begin" w:fldLock="1"/>
      </w:r>
      <w:r w:rsidRPr="00C85192">
        <w:instrText xml:space="preserve"> REF _Ref451784678 \r \h </w:instrText>
      </w:r>
      <w:r>
        <w:instrText xml:space="preserve"> \* MERGEFORMAT </w:instrText>
      </w:r>
      <w:r w:rsidRPr="00C85192">
        <w:fldChar w:fldCharType="separate"/>
      </w:r>
      <w:r w:rsidRPr="00C85192">
        <w:t>Figure 5</w:t>
      </w:r>
      <w:r w:rsidRPr="00C85192">
        <w:fldChar w:fldCharType="end"/>
      </w:r>
      <w:r w:rsidRPr="00C85192">
        <w:t xml:space="preserve"> and </w:t>
      </w:r>
      <w:r w:rsidRPr="00C85192">
        <w:fldChar w:fldCharType="begin" w:fldLock="1"/>
      </w:r>
      <w:r w:rsidRPr="00C85192">
        <w:instrText xml:space="preserve"> REF _Ref451784688 \r \h </w:instrText>
      </w:r>
      <w:r>
        <w:instrText xml:space="preserve"> \* MERGEFORMAT </w:instrText>
      </w:r>
      <w:r w:rsidRPr="00C85192">
        <w:fldChar w:fldCharType="separate"/>
      </w:r>
      <w:r w:rsidRPr="00C85192">
        <w:t>Figure 6</w:t>
      </w:r>
      <w:r w:rsidRPr="00C85192">
        <w:fldChar w:fldCharType="end"/>
      </w:r>
      <w:r w:rsidRPr="00C85192">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rsidRPr="00C85192">
        <w:fldChar w:fldCharType="begin" w:fldLock="1"/>
      </w:r>
      <w:r w:rsidRPr="00C85192">
        <w:instrText xml:space="preserve"> REF _Ref451784699 \r \h </w:instrText>
      </w:r>
      <w:r>
        <w:instrText xml:space="preserve"> \* MERGEFORMAT </w:instrText>
      </w:r>
      <w:r w:rsidRPr="00C85192">
        <w:fldChar w:fldCharType="separate"/>
      </w:r>
      <w:r w:rsidRPr="00C85192">
        <w:t>Figure 5</w:t>
      </w:r>
      <w:r w:rsidRPr="00C85192">
        <w:fldChar w:fldCharType="end"/>
      </w:r>
      <w:r w:rsidRPr="00C85192">
        <w:t xml:space="preserve"> in Chapter 1.4.2). If inconsistencies are found in the above checks, the missing elements should be developed by the evaluator.</w:t>
      </w:r>
    </w:p>
    <w:p w:rsidR="00170A1A" w:rsidRPr="00C85192" w:rsidRDefault="00170A1A" w:rsidP="00975D9B">
      <w:pPr>
        <w:pStyle w:val="HHeading5"/>
      </w:pPr>
      <w:r w:rsidRPr="00C85192">
        <w:t>NRN unexpected effects</w:t>
      </w:r>
    </w:p>
    <w:p w:rsidR="00170A1A" w:rsidRPr="00C85192" w:rsidRDefault="00170A1A" w:rsidP="004C05DD">
      <w:pPr>
        <w:pStyle w:val="HStandard"/>
      </w:pPr>
      <w:r w:rsidRPr="00C85192">
        <w:t>In addition to the expected or intended effects, NRN activities usually also generate unexpected or unintended effects</w:t>
      </w:r>
      <w:r w:rsidRPr="00C85192">
        <w:rPr>
          <w:rFonts w:ascii="ZWAdobeF" w:hAnsi="ZWAdobeF"/>
          <w:color w:val="auto"/>
          <w:sz w:val="2"/>
          <w:szCs w:val="2"/>
        </w:rPr>
        <w:t>90F</w:t>
      </w:r>
      <w:r w:rsidRPr="00E429AA">
        <w:rPr>
          <w:rFonts w:ascii="ZWAdobeF" w:hAnsi="ZWAdobeF" w:cs="ZWAdobeF"/>
          <w:color w:val="auto"/>
          <w:sz w:val="2"/>
          <w:szCs w:val="2"/>
        </w:rPr>
        <w:t xml:space="preserve"> </w:t>
      </w:r>
      <w:r>
        <w:rPr>
          <w:rFonts w:ascii="ZWAdobeF" w:hAnsi="ZWAdobeF" w:cs="ZWAdobeF"/>
          <w:color w:val="auto"/>
          <w:sz w:val="2"/>
          <w:szCs w:val="2"/>
        </w:rPr>
        <w:t>F</w:t>
      </w:r>
      <w:r w:rsidRPr="008D0759">
        <w:rPr>
          <w:rStyle w:val="FootnoteReference"/>
        </w:rPr>
        <w:footnoteReference w:id="91"/>
      </w:r>
      <w:r w:rsidRPr="00C85192">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170A1A" w:rsidRPr="00C85192" w:rsidRDefault="00170A1A" w:rsidP="004C05DD">
      <w:pPr>
        <w:pStyle w:val="HStandard"/>
      </w:pPr>
      <w:r w:rsidRPr="00C85192">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170A1A" w:rsidRPr="00C85192" w:rsidRDefault="00170A1A" w:rsidP="004C05DD">
      <w:pPr>
        <w:pStyle w:val="HHeading5"/>
        <w:rPr>
          <w:color w:val="ED7D31" w:themeColor="accent2"/>
        </w:rPr>
      </w:pPr>
      <w:r w:rsidRPr="00C85192">
        <w:rPr>
          <w:color w:val="ED7D31" w:themeColor="accent2"/>
        </w:rPr>
        <w:t>Step 5: Redefine or adjust the intervention logic, if needed.</w:t>
      </w:r>
    </w:p>
    <w:p w:rsidR="00170A1A" w:rsidRPr="00C85192" w:rsidRDefault="00170A1A" w:rsidP="004C05DD">
      <w:pPr>
        <w:pStyle w:val="HStandard"/>
      </w:pPr>
      <w:r w:rsidRPr="00C85192">
        <w:t xml:space="preserve">The review of the NRN intervention logic may lead to changes. These changes might result in a fine-tuning of the NRN related programme-specific objectives, groups of actions and expected effects. It </w:t>
      </w:r>
      <w:r w:rsidRPr="00C85192">
        <w:lastRenderedPageBreak/>
        <w:t>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2A138A">
        <w:tc>
          <w:tcPr>
            <w:tcW w:w="9016" w:type="dxa"/>
            <w:shd w:val="clear" w:color="auto" w:fill="F5F4F4" w:themeFill="background2" w:themeFillTint="66"/>
          </w:tcPr>
          <w:p w:rsidR="00170A1A" w:rsidRPr="00C85192" w:rsidRDefault="00170A1A" w:rsidP="002A138A">
            <w:pPr>
              <w:pStyle w:val="HStandard"/>
              <w:rPr>
                <w:color w:val="7030A0"/>
              </w:rPr>
            </w:pPr>
            <w:r w:rsidRPr="00C85192">
              <w:t>A beavatkozási logika felülvizsgálatának iránymutató kérdései:</w:t>
            </w:r>
          </w:p>
          <w:p w:rsidR="00170A1A" w:rsidRPr="00C85192" w:rsidRDefault="00170A1A" w:rsidP="00170A1A">
            <w:pPr>
              <w:pStyle w:val="Hlistbullet2"/>
            </w:pPr>
            <w:r w:rsidRPr="00C85192">
              <w:t>Van-e kifejezetten meghatározott változási elmélet a megállapított beavatkozási logika mögött?</w:t>
            </w:r>
          </w:p>
          <w:p w:rsidR="00170A1A" w:rsidRPr="00C85192" w:rsidRDefault="00170A1A" w:rsidP="00170A1A">
            <w:pPr>
              <w:pStyle w:val="Hlistbullet2"/>
            </w:pPr>
            <w:r w:rsidRPr="00C85192">
              <w:t>Egyértelműen meghatározták-e a beavatkozási logikát, vagy legalábbis modellezhető-e az a programban vagy kísérő dokumentumokban (például a HTE feladatmeghatározásában vagy a nyertes ajánlattevő szolgáltatási ajánlatában stb.) leírtak alapján?</w:t>
            </w:r>
          </w:p>
          <w:p w:rsidR="00170A1A" w:rsidRPr="00C85192" w:rsidRDefault="00170A1A" w:rsidP="00170A1A">
            <w:pPr>
              <w:pStyle w:val="Hlistbullet2"/>
            </w:pPr>
            <w:r w:rsidRPr="00C85192">
              <w:t>Milyen jelentős változások figyelhetők meg a programba bevont terület érdekeltjei között vagy a szélesebb társadalmi-gazdasági és politikai kontextusban?</w:t>
            </w:r>
          </w:p>
          <w:p w:rsidR="00170A1A" w:rsidRPr="00C85192" w:rsidRDefault="00170A1A" w:rsidP="00170A1A">
            <w:pPr>
              <w:pStyle w:val="Hlistbullet2"/>
            </w:pPr>
            <w:r w:rsidRPr="00C85192">
              <w:t>A megállapított célkitűzések, valamint a várt eredmények és hatások relevánsak-e a hátteret tekintve (GYELV, igények)?</w:t>
            </w:r>
          </w:p>
          <w:p w:rsidR="00170A1A" w:rsidRPr="00C85192" w:rsidRDefault="00170A1A" w:rsidP="00170A1A">
            <w:pPr>
              <w:pStyle w:val="Hlistbullet2"/>
            </w:pPr>
            <w:r w:rsidRPr="00C85192">
              <w:t>Vannak-e ellentmondások vagy téves megfeleltetések a tevékenységek, a várt kimenetek, eredmények és hatások (függőleges összefüggések) és a megállapított célkitűzések (vízszintes összefüggések) között?</w:t>
            </w:r>
          </w:p>
        </w:tc>
      </w:tr>
    </w:tbl>
    <w:p w:rsidR="00170A1A" w:rsidRPr="00C85192" w:rsidRDefault="00170A1A" w:rsidP="00975D9B">
      <w:pPr>
        <w:pStyle w:val="HHeading5"/>
      </w:pPr>
      <w:r w:rsidRPr="00C85192">
        <w:t>Helyes és helytelen gyakorlatok</w:t>
      </w:r>
    </w:p>
    <w:tbl>
      <w:tblPr>
        <w:tblStyle w:val="LightList-Accent5"/>
        <w:tblW w:w="0" w:type="auto"/>
        <w:tblLook w:val="04A0" w:firstRow="1" w:lastRow="0" w:firstColumn="1" w:lastColumn="0" w:noHBand="0" w:noVBand="1"/>
      </w:tblPr>
      <w:tblGrid>
        <w:gridCol w:w="4494"/>
        <w:gridCol w:w="4512"/>
      </w:tblGrid>
      <w:tr w:rsidR="00170A1A" w:rsidRPr="00C85192"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170A1A" w:rsidRPr="00C85192" w:rsidRDefault="00170A1A" w:rsidP="000A3387">
            <w:pPr>
              <w:pStyle w:val="HHeading5"/>
              <w:jc w:val="center"/>
              <w:rPr>
                <w:sz w:val="18"/>
                <w:szCs w:val="18"/>
              </w:rPr>
            </w:pPr>
            <w:r w:rsidRPr="00C85192">
              <w:rPr>
                <w:noProof/>
                <w:sz w:val="18"/>
                <w:szCs w:val="18"/>
                <w:lang w:val="en-GB" w:eastAsia="en-GB"/>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170A1A" w:rsidRPr="00C85192" w:rsidRDefault="00170A1A"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rPr>
            </w:pPr>
            <w:r w:rsidRPr="00C85192">
              <w:rPr>
                <w:noProof/>
                <w:sz w:val="18"/>
                <w:szCs w:val="18"/>
                <w:lang w:val="en-GB" w:eastAsia="en-GB"/>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0A3387">
            <w:pPr>
              <w:pStyle w:val="HHeading5"/>
              <w:rPr>
                <w:color w:val="FFC000" w:themeColor="accent4"/>
                <w:sz w:val="18"/>
                <w:szCs w:val="18"/>
              </w:rPr>
            </w:pPr>
            <w:r w:rsidRPr="00C85192">
              <w:rPr>
                <w:color w:val="FFC000" w:themeColor="accent4"/>
                <w:sz w:val="18"/>
                <w:szCs w:val="18"/>
              </w:rPr>
              <w:t>A körülményekben bekövetkezett olyan változások figyelembevétele, amelyek befolyásolhatják a beavatkozási logika célravezető jellegét.</w:t>
            </w:r>
          </w:p>
          <w:p w:rsidR="00170A1A" w:rsidRPr="00C85192" w:rsidRDefault="00170A1A" w:rsidP="000A3387">
            <w:pPr>
              <w:pStyle w:val="HStandard"/>
              <w:rPr>
                <w:color w:val="FFC000" w:themeColor="accent4"/>
                <w:sz w:val="18"/>
                <w:szCs w:val="18"/>
              </w:rPr>
            </w:pPr>
            <w:r w:rsidRPr="00C85192">
              <w:rPr>
                <w:color w:val="FFC000" w:themeColor="accent4"/>
                <w:sz w:val="18"/>
                <w:szCs w:val="18"/>
              </w:rPr>
              <w:t xml:space="preserve">Annak tisztázása, hogy az NVH hogyan járulhat hozzá a vidékfejlesztési politika célkitűzéseinek megvalósításához. </w:t>
            </w:r>
          </w:p>
          <w:p w:rsidR="00170A1A" w:rsidRPr="00C85192" w:rsidRDefault="00170A1A" w:rsidP="000A3387">
            <w:pPr>
              <w:pStyle w:val="HStandard"/>
              <w:rPr>
                <w:color w:val="FFC000" w:themeColor="accent4"/>
                <w:sz w:val="18"/>
                <w:szCs w:val="18"/>
              </w:rPr>
            </w:pPr>
            <w:r w:rsidRPr="00C85192">
              <w:rPr>
                <w:color w:val="FFC000" w:themeColor="accent4"/>
                <w:sz w:val="18"/>
                <w:szCs w:val="18"/>
              </w:rPr>
              <w:t>Az NVH célkitűzéseinek és eredményeinek megfogalmazása a vidéki szereplők és területek humán- és társadalmi tőkéjében bekövetkező változásként is.</w:t>
            </w:r>
          </w:p>
          <w:p w:rsidR="00170A1A" w:rsidRPr="00C85192" w:rsidRDefault="00170A1A" w:rsidP="000A3387">
            <w:pPr>
              <w:pStyle w:val="HStandard"/>
              <w:rPr>
                <w:color w:val="FFC000" w:themeColor="accent4"/>
                <w:sz w:val="18"/>
                <w:szCs w:val="18"/>
              </w:rPr>
            </w:pPr>
            <w:r w:rsidRPr="00C85192">
              <w:rPr>
                <w:b w:val="0"/>
                <w:color w:val="FFC000" w:themeColor="accent4"/>
                <w:sz w:val="18"/>
                <w:szCs w:val="18"/>
              </w:rPr>
              <w:t xml:space="preserve">A más hasonló, </w:t>
            </w:r>
            <w:r>
              <w:rPr>
                <w:b w:val="0"/>
                <w:color w:val="FFC000" w:themeColor="accent4"/>
                <w:sz w:val="18"/>
                <w:szCs w:val="18"/>
              </w:rPr>
              <w:t xml:space="preserve">a </w:t>
            </w:r>
            <w:r w:rsidRPr="00C85192">
              <w:rPr>
                <w:b w:val="0"/>
                <w:color w:val="FFC000" w:themeColor="accent4"/>
                <w:sz w:val="18"/>
                <w:szCs w:val="18"/>
              </w:rPr>
              <w:t>vidékfejlesztési politika területén kívüli beavatkozásokkal fennálló kiegészítő jelleg és koherencia figyelembevétele.</w:t>
            </w:r>
          </w:p>
          <w:p w:rsidR="00170A1A" w:rsidRPr="00C85192" w:rsidRDefault="00170A1A" w:rsidP="000A3387">
            <w:pPr>
              <w:pStyle w:val="HStandard"/>
              <w:rPr>
                <w:color w:val="FFC000" w:themeColor="accent4"/>
                <w:sz w:val="18"/>
                <w:szCs w:val="18"/>
              </w:rPr>
            </w:pPr>
            <w:r w:rsidRPr="00C85192">
              <w:rPr>
                <w:b w:val="0"/>
                <w:color w:val="FFC000" w:themeColor="accent4"/>
                <w:sz w:val="18"/>
                <w:szCs w:val="18"/>
              </w:rPr>
              <w:t>Folyamatos nyitottság a meglepetésekre (váratlan előnyökre vagy nem kívánt hatásokra).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rPr>
            </w:pPr>
            <w:r w:rsidRPr="00C85192">
              <w:rPr>
                <w:b w:val="0"/>
                <w:color w:val="ED7D31" w:themeColor="accent2"/>
                <w:sz w:val="18"/>
                <w:szCs w:val="18"/>
              </w:rPr>
              <w:t>A beavatkozási logika megkérdőjelezhetetlenként való elfogadása.</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Az NVH-tevékenységek közvetlen összekapcsolása a VFP célkitűzéseinek teljesítésével.</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Kizárólag a leírt hatások figyelembevétele.</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sidRPr="00C85192">
              <w:rPr>
                <w:color w:val="ED7D31" w:themeColor="accent2"/>
                <w:sz w:val="18"/>
                <w:szCs w:val="18"/>
              </w:rPr>
              <w:t xml:space="preserve">A beavatkozások rejtett költségeinek figyelmen kívül hagyása, valamint annak feltételezése, hogy nem történhetnek </w:t>
            </w:r>
            <w:r>
              <w:rPr>
                <w:color w:val="ED7D31" w:themeColor="accent2"/>
                <w:sz w:val="18"/>
                <w:szCs w:val="18"/>
              </w:rPr>
              <w:t xml:space="preserve">olyan </w:t>
            </w:r>
            <w:r w:rsidRPr="00C85192">
              <w:rPr>
                <w:color w:val="ED7D31" w:themeColor="accent2"/>
                <w:sz w:val="18"/>
                <w:szCs w:val="18"/>
              </w:rPr>
              <w:t>meglepetések, amelyek nem várt hatásokhoz vezethetnek.</w:t>
            </w:r>
          </w:p>
        </w:tc>
      </w:tr>
    </w:tbl>
    <w:p w:rsidR="00170A1A" w:rsidRPr="00C85192" w:rsidRDefault="00170A1A" w:rsidP="00975D9B">
      <w:pPr>
        <w:pStyle w:val="HHeading5"/>
      </w:pPr>
      <w:r w:rsidRPr="00C85192">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170A1A" w:rsidRPr="00C85192" w:rsidTr="004D1A84">
        <w:tc>
          <w:tcPr>
            <w:tcW w:w="9069" w:type="dxa"/>
            <w:shd w:val="clear" w:color="auto" w:fill="F5F4F4" w:themeFill="background2" w:themeFillTint="66"/>
          </w:tcPr>
          <w:p w:rsidR="00170A1A" w:rsidRPr="00C85192" w:rsidRDefault="00170A1A" w:rsidP="002A138A">
            <w:pPr>
              <w:pStyle w:val="HStandard"/>
              <w:jc w:val="left"/>
              <w:rPr>
                <w:sz w:val="16"/>
                <w:szCs w:val="16"/>
              </w:rPr>
            </w:pPr>
            <w:r w:rsidRPr="00C85192">
              <w:rPr>
                <w:sz w:val="16"/>
                <w:szCs w:val="16"/>
              </w:rPr>
              <w:t>Assessment of RDP results: How to prepare for reporting on evaluation in 2017, Chapter 5.1 Evaluation Helpdesk, April 2016</w:t>
            </w:r>
          </w:p>
          <w:p w:rsidR="00170A1A" w:rsidRPr="00C85192" w:rsidRDefault="00170A1A" w:rsidP="002A138A">
            <w:pPr>
              <w:pStyle w:val="HStandard"/>
              <w:jc w:val="left"/>
              <w:rPr>
                <w:rStyle w:val="Hyperlink"/>
                <w:rFonts w:eastAsiaTheme="majorEastAsia"/>
                <w:sz w:val="16"/>
                <w:szCs w:val="16"/>
              </w:rPr>
            </w:pPr>
            <w:r w:rsidRPr="00C85192">
              <w:rPr>
                <w:sz w:val="16"/>
                <w:szCs w:val="16"/>
              </w:rPr>
              <w:t xml:space="preserve">Capturing the success of your RDP: Guidelines for the ex post evaluation of 2007-2013 RDP, PART II, Chapters 1.4 and 1.5, link: </w:t>
            </w:r>
            <w:hyperlink r:id="rId40" w:history="1">
              <w:r w:rsidRPr="00C85192">
                <w:rPr>
                  <w:rStyle w:val="Hyperlink"/>
                  <w:sz w:val="16"/>
                  <w:szCs w:val="16"/>
                </w:rPr>
                <w:t>http://enrd.ec.europa.eu/enrd-static/evaluation/library/evaluation-helpdesk-publications/en/evaluation-helpdesk-publications_en.html</w:t>
              </w:r>
            </w:hyperlink>
          </w:p>
          <w:p w:rsidR="00170A1A" w:rsidRPr="00C85192" w:rsidRDefault="00170A1A" w:rsidP="002A138A">
            <w:pPr>
              <w:pStyle w:val="HStandard"/>
              <w:jc w:val="left"/>
              <w:rPr>
                <w:rStyle w:val="Hyperlink"/>
                <w:rFonts w:eastAsiaTheme="majorEastAsia"/>
                <w:color w:val="262626"/>
                <w:sz w:val="16"/>
                <w:szCs w:val="16"/>
              </w:rPr>
            </w:pPr>
            <w:r w:rsidRPr="00C85192">
              <w:rPr>
                <w:rStyle w:val="Hyperlink"/>
                <w:color w:val="262626"/>
                <w:sz w:val="16"/>
                <w:szCs w:val="16"/>
              </w:rPr>
              <w:lastRenderedPageBreak/>
              <w:t xml:space="preserve">Getting the most from your RDP: Guidelines for the ex ante evaluation of 2014-2020 RDPs, Chapter 5.4, </w:t>
            </w:r>
            <w:hyperlink r:id="rId41" w:history="1">
              <w:r w:rsidRPr="00C85192">
                <w:rPr>
                  <w:rStyle w:val="Hyperlink"/>
                  <w:sz w:val="16"/>
                  <w:szCs w:val="16"/>
                </w:rPr>
                <w:t>http://enrd.ec.europa.eu/enrd-static/evaluation/library/evaluation-helpdesk-publications/en/evaluation-helpdesk-publications_en.html</w:t>
              </w:r>
            </w:hyperlink>
            <w:r w:rsidRPr="00C85192">
              <w:rPr>
                <w:rStyle w:val="Hyperlink"/>
                <w:color w:val="262626"/>
                <w:sz w:val="16"/>
                <w:szCs w:val="16"/>
              </w:rPr>
              <w:t xml:space="preserve">, </w:t>
            </w:r>
          </w:p>
          <w:p w:rsidR="00170A1A" w:rsidRPr="00C85192" w:rsidRDefault="00170A1A" w:rsidP="002A138A">
            <w:pPr>
              <w:pStyle w:val="HStandard"/>
              <w:jc w:val="left"/>
              <w:rPr>
                <w:rStyle w:val="Hyperlink"/>
                <w:rFonts w:eastAsiaTheme="majorEastAsia"/>
                <w:color w:val="262626"/>
                <w:sz w:val="16"/>
                <w:szCs w:val="16"/>
              </w:rPr>
            </w:pPr>
            <w:r w:rsidRPr="00C85192">
              <w:rPr>
                <w:rStyle w:val="Hyperlink"/>
                <w:color w:val="262626"/>
                <w:sz w:val="16"/>
                <w:szCs w:val="16"/>
              </w:rPr>
              <w:t>On the NRN intervention logic:</w:t>
            </w:r>
          </w:p>
          <w:p w:rsidR="00170A1A" w:rsidRPr="00C85192" w:rsidRDefault="00170A1A" w:rsidP="002A138A">
            <w:pPr>
              <w:pStyle w:val="HStandard"/>
              <w:jc w:val="left"/>
              <w:rPr>
                <w:rStyle w:val="Hyperlink"/>
                <w:rFonts w:eastAsiaTheme="majorEastAsia"/>
                <w:color w:val="262626"/>
                <w:sz w:val="16"/>
                <w:szCs w:val="16"/>
              </w:rPr>
            </w:pPr>
            <w:r w:rsidRPr="00C85192">
              <w:rPr>
                <w:rStyle w:val="Hyperlink"/>
                <w:color w:val="262626"/>
                <w:sz w:val="16"/>
                <w:szCs w:val="16"/>
              </w:rPr>
              <w:t>ENRD 2014: NRN Guidebook, 3</w:t>
            </w:r>
            <w:r w:rsidRPr="00C85192">
              <w:rPr>
                <w:rStyle w:val="Hyperlink"/>
                <w:color w:val="262626"/>
                <w:sz w:val="16"/>
                <w:szCs w:val="16"/>
                <w:vertAlign w:val="superscript"/>
              </w:rPr>
              <w:t>rd</w:t>
            </w:r>
            <w:r w:rsidRPr="00C85192">
              <w:rPr>
                <w:rStyle w:val="Hyperlink"/>
                <w:color w:val="262626"/>
                <w:sz w:val="16"/>
                <w:szCs w:val="16"/>
              </w:rPr>
              <w:t xml:space="preserve"> chapter on Setting up and Starting a Network. </w:t>
            </w:r>
            <w:hyperlink r:id="rId42" w:history="1">
              <w:r w:rsidRPr="00C85192">
                <w:rPr>
                  <w:rStyle w:val="Hyperlink"/>
                  <w:sz w:val="16"/>
                  <w:szCs w:val="16"/>
                </w:rPr>
                <w:t>http://enrd.ec.europa.eu/enrd-static/app_templates/enrd_assets/pdf/guidebook/nrn_handbook_webversion.pdf</w:t>
              </w:r>
            </w:hyperlink>
            <w:r w:rsidRPr="00C85192">
              <w:rPr>
                <w:rStyle w:val="Hyperlink"/>
                <w:color w:val="262626"/>
                <w:sz w:val="16"/>
                <w:szCs w:val="16"/>
              </w:rPr>
              <w:t xml:space="preserve"> </w:t>
            </w:r>
          </w:p>
          <w:p w:rsidR="00170A1A" w:rsidRPr="00C85192" w:rsidRDefault="00170A1A" w:rsidP="002A138A">
            <w:pPr>
              <w:pStyle w:val="HStandard"/>
              <w:jc w:val="left"/>
              <w:rPr>
                <w:rStyle w:val="Hyperlink"/>
                <w:rFonts w:eastAsiaTheme="majorEastAsia"/>
                <w:color w:val="262626"/>
                <w:sz w:val="16"/>
                <w:szCs w:val="16"/>
              </w:rPr>
            </w:pPr>
            <w:r w:rsidRPr="00C85192">
              <w:rPr>
                <w:rStyle w:val="Hyperlink"/>
                <w:color w:val="262626"/>
                <w:sz w:val="16"/>
                <w:szCs w:val="16"/>
              </w:rPr>
              <w:t>On the theory of change and realistic evaluation:</w:t>
            </w:r>
          </w:p>
          <w:p w:rsidR="00170A1A" w:rsidRPr="00C85192" w:rsidRDefault="00170A1A" w:rsidP="002A138A">
            <w:pPr>
              <w:pStyle w:val="HStandard"/>
              <w:jc w:val="left"/>
              <w:rPr>
                <w:rStyle w:val="Hyperlink"/>
                <w:rFonts w:eastAsiaTheme="majorEastAsia"/>
                <w:color w:val="262626"/>
                <w:sz w:val="16"/>
                <w:szCs w:val="16"/>
              </w:rPr>
            </w:pPr>
            <w:r w:rsidRPr="00C85192">
              <w:rPr>
                <w:rStyle w:val="Hyperlink"/>
                <w:color w:val="262626"/>
                <w:sz w:val="16"/>
                <w:szCs w:val="16"/>
              </w:rPr>
              <w:t xml:space="preserve">Avril Blamey and Mhairi Mackenzie, 2007: Theory of Change and Realistic Evaluation: Peas in a Pod or Apples and Oranges? Sage. Web resource: </w:t>
            </w:r>
            <w:hyperlink r:id="rId43" w:history="1">
              <w:r w:rsidRPr="00C85192">
                <w:rPr>
                  <w:rStyle w:val="Hyperlink"/>
                  <w:sz w:val="16"/>
                  <w:szCs w:val="16"/>
                </w:rPr>
                <w:t>http://evi.sagepub.com/content/13/4/439.full.pdf</w:t>
              </w:r>
            </w:hyperlink>
            <w:r w:rsidRPr="00C85192">
              <w:rPr>
                <w:rStyle w:val="Hyperlink"/>
                <w:color w:val="262626"/>
                <w:sz w:val="16"/>
                <w:szCs w:val="16"/>
              </w:rPr>
              <w:t xml:space="preserve"> </w:t>
            </w:r>
          </w:p>
          <w:p w:rsidR="00170A1A" w:rsidRPr="00C85192" w:rsidRDefault="00170A1A" w:rsidP="002A138A">
            <w:pPr>
              <w:pStyle w:val="HStandard"/>
              <w:jc w:val="left"/>
              <w:rPr>
                <w:rFonts w:eastAsiaTheme="majorEastAsia"/>
              </w:rPr>
            </w:pPr>
            <w:r w:rsidRPr="00C85192">
              <w:rPr>
                <w:rStyle w:val="Hyperlink"/>
                <w:color w:val="262626"/>
                <w:sz w:val="16"/>
                <w:szCs w:val="16"/>
              </w:rPr>
              <w:t>Ray Payson and Nick Tilley,1997: Realistic Evaluation, Sage, 1997. Web resource (2004):</w:t>
            </w:r>
            <w:r w:rsidRPr="00C85192">
              <w:rPr>
                <w:sz w:val="16"/>
                <w:szCs w:val="16"/>
              </w:rPr>
              <w:t xml:space="preserve"> </w:t>
            </w:r>
            <w:hyperlink r:id="rId44" w:history="1">
              <w:r w:rsidRPr="00C85192">
                <w:rPr>
                  <w:rStyle w:val="Hyperlink"/>
                  <w:sz w:val="16"/>
                  <w:szCs w:val="16"/>
                </w:rPr>
                <w:t>http://www.communitymatters.com.au/RE_chapter.pdf</w:t>
              </w:r>
            </w:hyperlink>
            <w:r w:rsidRPr="00C85192">
              <w:rPr>
                <w:rStyle w:val="Hyperlink"/>
                <w:color w:val="262626"/>
              </w:rPr>
              <w:t xml:space="preserve"> </w:t>
            </w:r>
          </w:p>
        </w:tc>
      </w:tr>
    </w:tbl>
    <w:p w:rsidR="00170A1A" w:rsidRPr="00C85192" w:rsidRDefault="00170A1A" w:rsidP="00642574">
      <w:pPr>
        <w:pStyle w:val="HHeading3"/>
      </w:pPr>
      <w:bookmarkStart w:id="138" w:name="_Toc443491680"/>
      <w:bookmarkStart w:id="139" w:name="_Toc434744504"/>
      <w:bookmarkStart w:id="140" w:name="_Toc436140054"/>
      <w:bookmarkStart w:id="141" w:name="_Toc443491681"/>
      <w:bookmarkStart w:id="142" w:name="_Toc453079766"/>
      <w:bookmarkEnd w:id="138"/>
      <w:r w:rsidRPr="00C85192">
        <w:lastRenderedPageBreak/>
        <w:t>Az értékelési elemek és az NVH beavatkozási logikája közötti konzisztencia felülvizsgálata</w:t>
      </w:r>
      <w:bookmarkEnd w:id="139"/>
      <w:bookmarkEnd w:id="140"/>
      <w:bookmarkEnd w:id="141"/>
      <w:bookmarkEnd w:id="142"/>
    </w:p>
    <w:p w:rsidR="00170A1A" w:rsidRPr="00C85192" w:rsidRDefault="00170A1A" w:rsidP="00320BBA">
      <w:pPr>
        <w:pStyle w:val="HStandard"/>
        <w:rPr>
          <w:b/>
          <w:i/>
          <w:color w:val="538135" w:themeColor="accent6" w:themeShade="BF"/>
        </w:rPr>
      </w:pPr>
      <w:r w:rsidRPr="00C85192">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170A1A" w:rsidRPr="00C85192" w:rsidRDefault="00170A1A" w:rsidP="00975D9B">
      <w:pPr>
        <w:pStyle w:val="HHeading5"/>
      </w:pPr>
      <w:r w:rsidRPr="00C85192">
        <w:t>Melyek az értékelési megközelítés kiválasztásának konkrét lépései?</w:t>
      </w:r>
    </w:p>
    <w:p w:rsidR="00170A1A" w:rsidRPr="00C85192" w:rsidRDefault="00170A1A" w:rsidP="00320BBA">
      <w:pPr>
        <w:pStyle w:val="HStandard"/>
      </w:pPr>
      <w:r w:rsidRPr="00C85192">
        <w:t xml:space="preserve">A javasolt lépések és azok várt eredményei a következők: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170A1A" w:rsidRPr="00C85192" w:rsidTr="002A138A">
        <w:trPr>
          <w:trHeight w:val="625"/>
        </w:trPr>
        <w:tc>
          <w:tcPr>
            <w:tcW w:w="1271" w:type="dxa"/>
            <w:shd w:val="clear" w:color="auto" w:fill="E7E6E6" w:themeFill="background2"/>
          </w:tcPr>
          <w:p w:rsidR="00170A1A" w:rsidRPr="00C85192" w:rsidRDefault="00170A1A" w:rsidP="002A138A">
            <w:pPr>
              <w:pStyle w:val="HStandard"/>
              <w:jc w:val="center"/>
              <w:rPr>
                <w:b/>
                <w:color w:val="5B9BD5" w:themeColor="accent1"/>
                <w:sz w:val="18"/>
                <w:szCs w:val="18"/>
              </w:rPr>
            </w:pPr>
            <w:r w:rsidRPr="00C85192">
              <w:rPr>
                <w:b/>
                <w:color w:val="5B9BD5" w:themeColor="accent1"/>
                <w:sz w:val="18"/>
                <w:szCs w:val="18"/>
              </w:rPr>
              <w:t>1.</w:t>
            </w:r>
          </w:p>
        </w:tc>
        <w:tc>
          <w:tcPr>
            <w:tcW w:w="7745" w:type="dxa"/>
          </w:tcPr>
          <w:p w:rsidR="00170A1A" w:rsidRPr="00C85192" w:rsidRDefault="00170A1A" w:rsidP="004C05DD">
            <w:pPr>
              <w:pStyle w:val="HStandard"/>
              <w:rPr>
                <w:sz w:val="18"/>
                <w:szCs w:val="18"/>
              </w:rPr>
            </w:pPr>
            <w:r w:rsidRPr="00C85192">
              <w:rPr>
                <w:sz w:val="18"/>
                <w:szCs w:val="18"/>
              </w:rPr>
              <w:t>Ellenőrizzék, hogy még mindig relevánsak-e a kiegészítő mutatók a közös értékelési kérdések megválaszolása tekintetében. Ha nem, fogalmazzanak meg újakat.</w:t>
            </w:r>
          </w:p>
        </w:tc>
      </w:tr>
      <w:tr w:rsidR="00170A1A" w:rsidRPr="00C85192" w:rsidTr="002A138A">
        <w:trPr>
          <w:trHeight w:val="630"/>
        </w:trPr>
        <w:tc>
          <w:tcPr>
            <w:tcW w:w="1271" w:type="dxa"/>
            <w:shd w:val="clear" w:color="auto" w:fill="E7E6E6" w:themeFill="background2"/>
          </w:tcPr>
          <w:p w:rsidR="00170A1A" w:rsidRPr="00C85192" w:rsidRDefault="00170A1A" w:rsidP="002A138A">
            <w:pPr>
              <w:pStyle w:val="HStandard"/>
              <w:jc w:val="center"/>
              <w:rPr>
                <w:b/>
                <w:color w:val="5B9BD5" w:themeColor="accent1"/>
                <w:sz w:val="18"/>
                <w:szCs w:val="18"/>
              </w:rPr>
            </w:pPr>
            <w:r w:rsidRPr="00C85192">
              <w:rPr>
                <w:b/>
                <w:color w:val="5B9BD5" w:themeColor="accent1"/>
                <w:sz w:val="18"/>
                <w:szCs w:val="18"/>
              </w:rPr>
              <w:t>2.</w:t>
            </w:r>
          </w:p>
        </w:tc>
        <w:tc>
          <w:tcPr>
            <w:tcW w:w="7745" w:type="dxa"/>
          </w:tcPr>
          <w:p w:rsidR="00170A1A" w:rsidRPr="00C85192" w:rsidRDefault="00170A1A" w:rsidP="004C05DD">
            <w:pPr>
              <w:pStyle w:val="HStandard"/>
              <w:rPr>
                <w:sz w:val="18"/>
                <w:szCs w:val="18"/>
              </w:rPr>
            </w:pPr>
            <w:r w:rsidRPr="00C85192">
              <w:rPr>
                <w:sz w:val="18"/>
                <w:szCs w:val="18"/>
              </w:rPr>
              <w:t xml:space="preserve">Ellenőrizzék, hogy a meglévő programspecifikus értékelési kérdések és mutatók még mindig relevánsak-e. Ha nem, fogalmazzák át azokat, vagy hagyják ki azokat a rendszerből.  </w:t>
            </w:r>
          </w:p>
        </w:tc>
      </w:tr>
      <w:tr w:rsidR="00170A1A" w:rsidRPr="00C85192" w:rsidTr="002A138A">
        <w:tc>
          <w:tcPr>
            <w:tcW w:w="1271" w:type="dxa"/>
            <w:shd w:val="clear" w:color="auto" w:fill="E7E6E6" w:themeFill="background2"/>
          </w:tcPr>
          <w:p w:rsidR="00170A1A" w:rsidRPr="00C85192" w:rsidRDefault="00170A1A" w:rsidP="002A138A">
            <w:pPr>
              <w:pStyle w:val="HStandard"/>
              <w:jc w:val="center"/>
              <w:rPr>
                <w:b/>
                <w:color w:val="5B9BD5" w:themeColor="accent1"/>
                <w:sz w:val="18"/>
                <w:szCs w:val="18"/>
              </w:rPr>
            </w:pPr>
            <w:r w:rsidRPr="00C85192">
              <w:rPr>
                <w:b/>
                <w:color w:val="5B9BD5" w:themeColor="accent1"/>
                <w:sz w:val="18"/>
                <w:szCs w:val="18"/>
              </w:rPr>
              <w:t>3.</w:t>
            </w:r>
          </w:p>
        </w:tc>
        <w:tc>
          <w:tcPr>
            <w:tcW w:w="7745" w:type="dxa"/>
          </w:tcPr>
          <w:p w:rsidR="00170A1A" w:rsidRPr="00C85192" w:rsidRDefault="00170A1A" w:rsidP="00736F20">
            <w:pPr>
              <w:pStyle w:val="Hlistbullet"/>
              <w:numPr>
                <w:ilvl w:val="0"/>
                <w:numId w:val="0"/>
              </w:numPr>
              <w:tabs>
                <w:tab w:val="left" w:pos="0"/>
              </w:tabs>
              <w:spacing w:before="0" w:line="280" w:lineRule="atLeast"/>
              <w:rPr>
                <w:sz w:val="18"/>
                <w:szCs w:val="18"/>
              </w:rPr>
            </w:pPr>
            <w:r w:rsidRPr="00C85192">
              <w:rPr>
                <w:sz w:val="18"/>
                <w:szCs w:val="18"/>
              </w:rPr>
              <w:t>Szükség esetén, például ha új NVH-célkitűzéseket határoztak meg, fogalmazzanak meg új programspecifikus értékelési kérdéseket, és dolgozzanak ki olyan mutatókat</w:t>
            </w:r>
            <w:r w:rsidRPr="00C85192">
              <w:rPr>
                <w:rFonts w:ascii="ZWAdobeF" w:hAnsi="ZWAdobeF"/>
                <w:color w:val="auto"/>
                <w:sz w:val="2"/>
                <w:szCs w:val="2"/>
              </w:rPr>
              <w:t>91F</w:t>
            </w:r>
            <w:r w:rsidRPr="00C85192">
              <w:rPr>
                <w:sz w:val="18"/>
                <w:szCs w:val="18"/>
                <w:vertAlign w:val="superscript"/>
              </w:rPr>
              <w:footnoteReference w:id="92"/>
            </w:r>
            <w:r w:rsidRPr="00C85192">
              <w:rPr>
                <w:sz w:val="18"/>
                <w:szCs w:val="18"/>
              </w:rPr>
              <w:t>, amelyek lehetővé teszik ezek megválaszolását.</w:t>
            </w:r>
          </w:p>
        </w:tc>
      </w:tr>
      <w:tr w:rsidR="00170A1A" w:rsidRPr="00C85192" w:rsidTr="002A138A">
        <w:tc>
          <w:tcPr>
            <w:tcW w:w="1271" w:type="dxa"/>
            <w:shd w:val="clear" w:color="auto" w:fill="E7E6E6" w:themeFill="background2"/>
          </w:tcPr>
          <w:p w:rsidR="00170A1A" w:rsidRPr="00C85192" w:rsidRDefault="00170A1A" w:rsidP="002A138A">
            <w:pPr>
              <w:pStyle w:val="HStandard"/>
              <w:jc w:val="center"/>
              <w:rPr>
                <w:b/>
                <w:color w:val="5B9BD5" w:themeColor="accent1"/>
                <w:sz w:val="18"/>
                <w:szCs w:val="18"/>
              </w:rPr>
            </w:pPr>
            <w:r w:rsidRPr="00C85192">
              <w:rPr>
                <w:b/>
                <w:color w:val="5B9BD5" w:themeColor="accent1"/>
                <w:sz w:val="18"/>
                <w:szCs w:val="18"/>
              </w:rPr>
              <w:t>4.</w:t>
            </w:r>
          </w:p>
        </w:tc>
        <w:tc>
          <w:tcPr>
            <w:tcW w:w="7745" w:type="dxa"/>
          </w:tcPr>
          <w:p w:rsidR="00170A1A" w:rsidRPr="00C85192" w:rsidRDefault="00170A1A" w:rsidP="00F55EBA">
            <w:pPr>
              <w:pStyle w:val="Hlistbullet"/>
              <w:numPr>
                <w:ilvl w:val="0"/>
                <w:numId w:val="0"/>
              </w:numPr>
              <w:tabs>
                <w:tab w:val="left" w:pos="34"/>
              </w:tabs>
              <w:spacing w:before="0" w:line="280" w:lineRule="atLeast"/>
              <w:ind w:left="34"/>
              <w:rPr>
                <w:sz w:val="18"/>
                <w:szCs w:val="18"/>
              </w:rPr>
            </w:pPr>
            <w:r w:rsidRPr="00C85192">
              <w:rPr>
                <w:sz w:val="18"/>
                <w:szCs w:val="18"/>
              </w:rPr>
              <w:t xml:space="preserve">Ellenőrizzék újra az NVH beavatkozási logikája, az értékelési kérdések és a mutatók közötti konzisztenciát. </w:t>
            </w:r>
          </w:p>
        </w:tc>
      </w:tr>
      <w:tr w:rsidR="00170A1A" w:rsidRPr="00C85192" w:rsidTr="002A138A">
        <w:tc>
          <w:tcPr>
            <w:tcW w:w="9016" w:type="dxa"/>
            <w:gridSpan w:val="2"/>
          </w:tcPr>
          <w:p w:rsidR="00170A1A" w:rsidRPr="00C85192" w:rsidRDefault="00170A1A" w:rsidP="0017106B">
            <w:pPr>
              <w:pStyle w:val="HStandard"/>
              <w:rPr>
                <w:b/>
                <w:i/>
                <w:sz w:val="18"/>
                <w:szCs w:val="18"/>
              </w:rPr>
            </w:pPr>
            <w:r w:rsidRPr="00C85192">
              <w:rPr>
                <w:b/>
                <w:sz w:val="18"/>
                <w:szCs w:val="18"/>
              </w:rPr>
              <w:t>Várt eredmény:</w:t>
            </w:r>
            <w:r w:rsidRPr="00C85192">
              <w:rPr>
                <w:b/>
                <w:i/>
                <w:sz w:val="18"/>
                <w:szCs w:val="18"/>
              </w:rPr>
              <w:t xml:space="preserve"> </w:t>
            </w:r>
            <w:r w:rsidRPr="00C85192">
              <w:rPr>
                <w:sz w:val="18"/>
                <w:szCs w:val="18"/>
              </w:rPr>
              <w:t>Konzisztens NVH-értékelési keretrendszer (</w:t>
            </w:r>
            <w:r w:rsidRPr="00C85192">
              <w:rPr>
                <w:sz w:val="18"/>
                <w:szCs w:val="18"/>
              </w:rPr>
              <w:fldChar w:fldCharType="begin" w:fldLock="1"/>
            </w:r>
            <w:r w:rsidRPr="00C85192">
              <w:rPr>
                <w:sz w:val="18"/>
                <w:szCs w:val="18"/>
              </w:rPr>
              <w:instrText xml:space="preserve"> REF _Ref451784713 \r \h  \* MERGEFORMAT </w:instrText>
            </w:r>
            <w:r w:rsidRPr="00C85192">
              <w:rPr>
                <w:sz w:val="18"/>
                <w:szCs w:val="18"/>
              </w:rPr>
            </w:r>
            <w:r w:rsidRPr="00C85192">
              <w:rPr>
                <w:sz w:val="18"/>
                <w:szCs w:val="18"/>
              </w:rPr>
              <w:fldChar w:fldCharType="separate"/>
            </w:r>
            <w:r w:rsidRPr="00C85192">
              <w:rPr>
                <w:sz w:val="18"/>
                <w:szCs w:val="18"/>
              </w:rPr>
              <w:t>Figure 9</w:t>
            </w:r>
            <w:r w:rsidRPr="00C85192">
              <w:rPr>
                <w:sz w:val="18"/>
                <w:szCs w:val="18"/>
              </w:rPr>
              <w:fldChar w:fldCharType="end"/>
            </w:r>
            <w:r w:rsidRPr="00C85192">
              <w:rPr>
                <w:sz w:val="18"/>
                <w:szCs w:val="18"/>
              </w:rPr>
              <w:t>)</w:t>
            </w:r>
          </w:p>
        </w:tc>
      </w:tr>
    </w:tbl>
    <w:p w:rsidR="00170A1A" w:rsidRPr="00C85192" w:rsidRDefault="00170A1A" w:rsidP="004D1A84">
      <w:pPr>
        <w:pStyle w:val="HStandard"/>
      </w:pPr>
      <w:r w:rsidRPr="00C85192">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sidRPr="00C85192">
        <w:rPr>
          <w:b/>
          <w:color w:val="E7E6E6" w:themeColor="background2"/>
        </w:rPr>
        <w:t>PART I</w:t>
      </w:r>
      <w:r w:rsidRPr="00C85192">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4D1A84">
        <w:tc>
          <w:tcPr>
            <w:tcW w:w="9016" w:type="dxa"/>
            <w:shd w:val="clear" w:color="auto" w:fill="F5F4F4" w:themeFill="background2" w:themeFillTint="66"/>
          </w:tcPr>
          <w:p w:rsidR="00170A1A" w:rsidRPr="00C85192" w:rsidRDefault="00170A1A" w:rsidP="004D1A84">
            <w:pPr>
              <w:pStyle w:val="HStandard"/>
            </w:pPr>
            <w:bookmarkStart w:id="143" w:name="_Toc434744505"/>
            <w:bookmarkStart w:id="144" w:name="_Toc434744506"/>
            <w:bookmarkStart w:id="145" w:name="_Toc436140055"/>
            <w:bookmarkEnd w:id="143"/>
            <w:r w:rsidRPr="00C85192">
              <w:t>Az értékelési elemek és a beavatkozási logika közötti konzisztencia ellenőrzéséhez használható iránymutató kérdések</w:t>
            </w:r>
          </w:p>
          <w:p w:rsidR="00170A1A" w:rsidRPr="00C85192" w:rsidRDefault="00170A1A" w:rsidP="00170A1A">
            <w:pPr>
              <w:pStyle w:val="Hlistbullet2"/>
            </w:pPr>
            <w:r w:rsidRPr="00C85192">
              <w:lastRenderedPageBreak/>
              <w:t>Az értékelési kérdések tényleg arra kérdeznek rá, amit tudni szeretnénk?</w:t>
            </w:r>
          </w:p>
          <w:p w:rsidR="00170A1A" w:rsidRPr="00C85192" w:rsidRDefault="00170A1A" w:rsidP="00170A1A">
            <w:pPr>
              <w:pStyle w:val="Hlistbullet2"/>
            </w:pPr>
            <w:r w:rsidRPr="00C85192">
              <w:t>Van hiányzó vagy felesleges értékelési kérdés?</w:t>
            </w:r>
          </w:p>
          <w:p w:rsidR="00170A1A" w:rsidRPr="00C85192" w:rsidRDefault="00170A1A" w:rsidP="00170A1A">
            <w:pPr>
              <w:pStyle w:val="Hlistbullet2"/>
            </w:pPr>
            <w:r w:rsidRPr="00C85192">
              <w:t>A mutatók azokra a szempontokra vonatkoznak, amelyekre kíváncsiak vagyunk?</w:t>
            </w:r>
          </w:p>
          <w:p w:rsidR="00170A1A" w:rsidRPr="00C85192" w:rsidRDefault="00170A1A" w:rsidP="00170A1A">
            <w:pPr>
              <w:pStyle w:val="Hlistbullet2"/>
            </w:pPr>
            <w:r w:rsidRPr="00C85192">
              <w:t>A mutatók megfelelően részletezik az értékelési kérdéseket és az elbírálási kritériumokat?</w:t>
            </w:r>
          </w:p>
          <w:p w:rsidR="00170A1A" w:rsidRPr="00C85192" w:rsidRDefault="00170A1A" w:rsidP="00170A1A">
            <w:pPr>
              <w:pStyle w:val="Hlistbullet2"/>
            </w:pPr>
            <w:r w:rsidRPr="00C85192">
              <w:t xml:space="preserve">A mutatók megfelelő bizonyítékot képesek nyújtani az értékelési kérdések megválaszolásához? </w:t>
            </w:r>
          </w:p>
          <w:p w:rsidR="00170A1A" w:rsidRPr="00C85192" w:rsidRDefault="00170A1A" w:rsidP="00170A1A">
            <w:pPr>
              <w:pStyle w:val="Hlistbullet2"/>
            </w:pPr>
            <w:r w:rsidRPr="00C85192">
              <w:t>A mutatók megfelelnek a RACER-követelményeknek?</w:t>
            </w:r>
          </w:p>
        </w:tc>
      </w:tr>
    </w:tbl>
    <w:p w:rsidR="00170A1A" w:rsidRPr="00C85192" w:rsidRDefault="00170A1A" w:rsidP="00320BBA">
      <w:pPr>
        <w:pStyle w:val="HHeading5"/>
      </w:pPr>
      <w:r w:rsidRPr="00C85192">
        <w:lastRenderedPageBreak/>
        <w:t>Helyes és helytelen gyakorlatok</w:t>
      </w:r>
    </w:p>
    <w:tbl>
      <w:tblPr>
        <w:tblStyle w:val="LightList-Accent5"/>
        <w:tblW w:w="0" w:type="auto"/>
        <w:tblLook w:val="04A0" w:firstRow="1" w:lastRow="0" w:firstColumn="1" w:lastColumn="0" w:noHBand="0" w:noVBand="1"/>
      </w:tblPr>
      <w:tblGrid>
        <w:gridCol w:w="4494"/>
        <w:gridCol w:w="4512"/>
      </w:tblGrid>
      <w:tr w:rsidR="00170A1A" w:rsidRPr="00C85192"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170A1A" w:rsidRPr="00C85192" w:rsidRDefault="00170A1A" w:rsidP="000A3387">
            <w:pPr>
              <w:pStyle w:val="HHeading5"/>
              <w:jc w:val="center"/>
              <w:rPr>
                <w:sz w:val="18"/>
                <w:szCs w:val="18"/>
              </w:rPr>
            </w:pPr>
            <w:r w:rsidRPr="00C85192">
              <w:rPr>
                <w:noProof/>
                <w:sz w:val="18"/>
                <w:szCs w:val="18"/>
                <w:lang w:val="en-GB" w:eastAsia="en-GB"/>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170A1A" w:rsidRPr="00C85192" w:rsidRDefault="00170A1A"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rPr>
            </w:pPr>
            <w:r w:rsidRPr="00C85192">
              <w:rPr>
                <w:noProof/>
                <w:sz w:val="18"/>
                <w:szCs w:val="18"/>
                <w:lang w:val="en-GB" w:eastAsia="en-GB"/>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Átfogó értékelési szerkezet kialakítása úgy, hogy az értékelési elemeket szükség szerint hozzáigazítják a beavatkozási logikához.</w:t>
            </w:r>
          </w:p>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Annak biztosítása, hogy az értékelési kérdések minden olyan információra kiterjedjenek, amelyet meg szeretnének tudni az NVH-nak a vidékfejlesztéshez való hozzájárulás</w:t>
            </w:r>
            <w:r>
              <w:rPr>
                <w:b w:val="0"/>
                <w:color w:val="FFC000" w:themeColor="accent4"/>
                <w:sz w:val="18"/>
                <w:szCs w:val="18"/>
              </w:rPr>
              <w:t>át illetően</w:t>
            </w:r>
            <w:r w:rsidRPr="00C85192">
              <w:rPr>
                <w:b w:val="0"/>
                <w:color w:val="FFC000" w:themeColor="accent4"/>
                <w:sz w:val="18"/>
                <w:szCs w:val="18"/>
              </w:rPr>
              <w:t>.</w:t>
            </w:r>
          </w:p>
          <w:p w:rsidR="00170A1A" w:rsidRPr="00C85192" w:rsidRDefault="00170A1A" w:rsidP="000A3387">
            <w:pPr>
              <w:pStyle w:val="HStandard"/>
              <w:spacing w:before="120" w:line="240" w:lineRule="atLeast"/>
              <w:rPr>
                <w:b w:val="0"/>
                <w:color w:val="FFC000" w:themeColor="accent4"/>
                <w:sz w:val="18"/>
                <w:szCs w:val="18"/>
              </w:rPr>
            </w:pPr>
            <w:r w:rsidRPr="00C85192">
              <w:rPr>
                <w:color w:val="FFC000" w:themeColor="accent4"/>
                <w:sz w:val="18"/>
                <w:szCs w:val="18"/>
              </w:rPr>
              <w:t>Annak észben</w:t>
            </w:r>
            <w:r>
              <w:rPr>
                <w:color w:val="FFC000" w:themeColor="accent4"/>
                <w:sz w:val="18"/>
                <w:szCs w:val="18"/>
              </w:rPr>
              <w:t xml:space="preserve"> </w:t>
            </w:r>
            <w:r w:rsidRPr="00C85192">
              <w:rPr>
                <w:color w:val="FFC000" w:themeColor="accent4"/>
                <w:sz w:val="18"/>
                <w:szCs w:val="18"/>
              </w:rPr>
              <w:t>tartása,</w:t>
            </w:r>
            <w:r w:rsidRPr="00C85192">
              <w:rPr>
                <w:b w:val="0"/>
                <w:color w:val="FFC000" w:themeColor="accent4"/>
                <w:sz w:val="18"/>
                <w:szCs w:val="18"/>
              </w:rPr>
              <w:t xml:space="preserve"> hogy a mutatók az értékelési kérdések megválaszolásához használt bizonyítékok gyűjtésére szolgálnak.</w:t>
            </w:r>
          </w:p>
          <w:p w:rsidR="00170A1A" w:rsidRPr="00C85192" w:rsidRDefault="00170A1A" w:rsidP="000A3387">
            <w:pPr>
              <w:pStyle w:val="HStandard"/>
              <w:rPr>
                <w:color w:val="FFC000" w:themeColor="accent4"/>
                <w:sz w:val="18"/>
                <w:szCs w:val="18"/>
              </w:rPr>
            </w:pPr>
            <w:r w:rsidRPr="00C85192">
              <w:rPr>
                <w:b w:val="0"/>
                <w:color w:val="FFC000" w:themeColor="accent4"/>
                <w:sz w:val="18"/>
                <w:szCs w:val="18"/>
              </w:rPr>
              <w:t>A RACER-megközelítés alkalmazása a mutatók kidolgozásához.</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b w:val="0"/>
                <w:color w:val="ED7D31" w:themeColor="accent2"/>
                <w:sz w:val="18"/>
                <w:szCs w:val="18"/>
              </w:rPr>
              <w:t>Az értékelési kérdések és mutatók megkérdőjelezhetetlenként való elfogadása.</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sidRPr="00C85192">
              <w:rPr>
                <w:color w:val="ED7D31" w:themeColor="accent2"/>
                <w:sz w:val="18"/>
                <w:szCs w:val="18"/>
              </w:rPr>
              <w:t>Értékelési kérdések megfogalmazása anélkül, hogy azokat elbírálási kritériumokkal pontosítanák és mutatókhoz kapcsolnák.</w:t>
            </w:r>
          </w:p>
        </w:tc>
      </w:tr>
    </w:tbl>
    <w:p w:rsidR="00170A1A" w:rsidRPr="00C85192" w:rsidRDefault="00170A1A" w:rsidP="004D1A84">
      <w:pPr>
        <w:pStyle w:val="HHeading5"/>
      </w:pPr>
      <w:r w:rsidRPr="00C85192">
        <w:t>További információk</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170A1A" w:rsidRPr="00C85192" w:rsidTr="004C05DD">
        <w:tc>
          <w:tcPr>
            <w:tcW w:w="9069" w:type="dxa"/>
            <w:shd w:val="clear" w:color="auto" w:fill="FAF9F9" w:themeFill="background2" w:themeFillTint="33"/>
          </w:tcPr>
          <w:p w:rsidR="00170A1A" w:rsidRPr="00C85192" w:rsidRDefault="00170A1A" w:rsidP="004D1A84">
            <w:pPr>
              <w:pStyle w:val="HStandard"/>
              <w:jc w:val="left"/>
              <w:rPr>
                <w:sz w:val="16"/>
                <w:szCs w:val="16"/>
              </w:rPr>
            </w:pPr>
            <w:r w:rsidRPr="00C85192">
              <w:rPr>
                <w:sz w:val="16"/>
                <w:szCs w:val="16"/>
              </w:rPr>
              <w:t>A VFP eredményeinek értékelése: How to prepare for reporting on evaluation in 2017, Chapter 5.1 Evaluation Helpdesk, April 2016</w:t>
            </w:r>
          </w:p>
          <w:p w:rsidR="00170A1A" w:rsidRPr="00C85192" w:rsidRDefault="00170A1A" w:rsidP="00C0080B">
            <w:pPr>
              <w:pStyle w:val="HStandard"/>
              <w:jc w:val="left"/>
            </w:pPr>
            <w:r w:rsidRPr="00C85192">
              <w:rPr>
                <w:sz w:val="16"/>
                <w:szCs w:val="16"/>
              </w:rPr>
              <w:t>Italian NRNP: Examples for mapping IL, EQs and Indicators in the Case Study presented by the evaluator Francesca Angori during the Helpdesk seminar:</w:t>
            </w:r>
            <w:r w:rsidRPr="00C85192">
              <w:rPr>
                <w:i/>
                <w:sz w:val="16"/>
                <w:szCs w:val="16"/>
              </w:rPr>
              <w:t xml:space="preserve"> “National rural networks: How to show their benefits.” </w:t>
            </w:r>
            <w:r w:rsidRPr="00C85192">
              <w:rPr>
                <w:sz w:val="16"/>
                <w:szCs w:val="16"/>
              </w:rPr>
              <w:t xml:space="preserve">Rome/IT, 10/11 April 2014. </w:t>
            </w:r>
            <w:hyperlink r:id="rId45" w:history="1">
              <w:r w:rsidRPr="00C85192">
                <w:rPr>
                  <w:rStyle w:val="Hyperlink"/>
                  <w:sz w:val="16"/>
                  <w:szCs w:val="16"/>
                </w:rPr>
                <w:t>http://enrd.ec.europa.eu/enrd-static/app_templates/enrd_assets/pdf/evaluation/national-rural-networks/GPW10_Italy.pdf</w:t>
              </w:r>
            </w:hyperlink>
            <w:r w:rsidRPr="00C85192">
              <w:t xml:space="preserve"> </w:t>
            </w:r>
          </w:p>
        </w:tc>
      </w:tr>
    </w:tbl>
    <w:p w:rsidR="00170A1A" w:rsidRPr="00C85192" w:rsidRDefault="00170A1A" w:rsidP="00642574">
      <w:pPr>
        <w:pStyle w:val="HHeading3"/>
      </w:pPr>
      <w:bookmarkStart w:id="146" w:name="_Toc443491683"/>
      <w:bookmarkStart w:id="147" w:name="_Toc453079767"/>
      <w:r w:rsidRPr="00C85192">
        <w:t>A megfelelő értékelési megközelítés és módszer(ek) kiválasztása az adott NVH-hoz</w:t>
      </w:r>
      <w:bookmarkEnd w:id="144"/>
      <w:bookmarkEnd w:id="145"/>
      <w:bookmarkEnd w:id="146"/>
      <w:bookmarkEnd w:id="147"/>
    </w:p>
    <w:p w:rsidR="00170A1A" w:rsidRPr="00C85192" w:rsidRDefault="00170A1A" w:rsidP="004D1A84">
      <w:pPr>
        <w:pStyle w:val="HStandard"/>
        <w:rPr>
          <w:color w:val="538135" w:themeColor="accent6" w:themeShade="BF"/>
        </w:rPr>
      </w:pPr>
      <w:r w:rsidRPr="00C85192">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170A1A" w:rsidRPr="00C85192" w:rsidRDefault="00170A1A" w:rsidP="004D1A84">
      <w:pPr>
        <w:pStyle w:val="HHeading5"/>
      </w:pPr>
      <w:r w:rsidRPr="00C85192">
        <w:t>How to distinguish the evaluation approaches from the methods and tools?</w:t>
      </w:r>
    </w:p>
    <w:p w:rsidR="00170A1A" w:rsidRPr="00C85192" w:rsidRDefault="00170A1A" w:rsidP="004D1A84">
      <w:pPr>
        <w:pStyle w:val="HStandard"/>
      </w:pPr>
      <w:r w:rsidRPr="00C85192">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170A1A" w:rsidRPr="00C85192" w:rsidRDefault="00170A1A" w:rsidP="004D1A84">
      <w:pPr>
        <w:pStyle w:val="Hlistbullet2"/>
      </w:pPr>
      <w:r w:rsidRPr="00C85192">
        <w:t xml:space="preserve">The choice of the </w:t>
      </w:r>
      <w:r w:rsidRPr="00C85192">
        <w:rPr>
          <w:b/>
        </w:rPr>
        <w:t>approach</w:t>
      </w:r>
      <w:r w:rsidRPr="00C85192">
        <w:t xml:space="preserve"> defines the playing field in which the evaluation is carried out. It is guided by questions like: “What is the purpose of the evaluation?” - “What are the (political, </w:t>
      </w:r>
      <w:r w:rsidRPr="00C85192">
        <w:lastRenderedPageBreak/>
        <w:t>economic, technical, financial) boundaries or restrictions we have to take into account for the evaluation?”</w:t>
      </w:r>
    </w:p>
    <w:p w:rsidR="00170A1A" w:rsidRPr="00C85192" w:rsidRDefault="00170A1A" w:rsidP="004D1A84">
      <w:pPr>
        <w:pStyle w:val="Hlistbullet2"/>
        <w:numPr>
          <w:ilvl w:val="0"/>
          <w:numId w:val="0"/>
        </w:numPr>
        <w:ind w:left="641"/>
      </w:pPr>
      <w:r w:rsidRPr="00C85192">
        <w:sym w:font="Wingdings" w:char="F0E0"/>
      </w:r>
      <w:r w:rsidRPr="00C85192">
        <w:t xml:space="preserve"> Example: Mixed quantitative and qualitative approach.</w:t>
      </w:r>
    </w:p>
    <w:p w:rsidR="00170A1A" w:rsidRPr="00C85192" w:rsidRDefault="00170A1A" w:rsidP="004D1A84">
      <w:pPr>
        <w:pStyle w:val="Hlistbullet2"/>
      </w:pPr>
      <w:r w:rsidRPr="00C85192">
        <w:t xml:space="preserve">The choice of the </w:t>
      </w:r>
      <w:r w:rsidRPr="00C85192">
        <w:rPr>
          <w:b/>
        </w:rPr>
        <w:t>method</w:t>
      </w:r>
      <w:r w:rsidRPr="00C85192">
        <w:t xml:space="preserve"> or </w:t>
      </w:r>
      <w:r w:rsidRPr="00C85192">
        <w:rPr>
          <w:b/>
        </w:rPr>
        <w:t xml:space="preserve">methodology </w:t>
      </w:r>
      <w:r w:rsidRPr="00C85192">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170A1A" w:rsidRPr="00C85192" w:rsidRDefault="00170A1A" w:rsidP="004D1A84">
      <w:pPr>
        <w:pStyle w:val="Hlistbullet2"/>
        <w:numPr>
          <w:ilvl w:val="0"/>
          <w:numId w:val="0"/>
        </w:numPr>
        <w:ind w:left="641"/>
      </w:pPr>
      <w:r w:rsidRPr="00C85192">
        <w:sym w:font="Wingdings" w:char="F0E0"/>
      </w:r>
      <w:r w:rsidRPr="00C85192">
        <w:t xml:space="preserve"> Example: Social Network Analysis.</w:t>
      </w:r>
    </w:p>
    <w:p w:rsidR="00170A1A" w:rsidRPr="00C85192" w:rsidRDefault="00170A1A" w:rsidP="004D1A84">
      <w:pPr>
        <w:pStyle w:val="Hlistbullet2"/>
      </w:pPr>
      <w:r w:rsidRPr="00C85192">
        <w:rPr>
          <w:b/>
        </w:rPr>
        <w:t xml:space="preserve">Tools </w:t>
      </w:r>
      <w:r w:rsidRPr="00C85192">
        <w:t>are the basic technical elements of methods, which we use in collecting evaluation evidence.</w:t>
      </w:r>
    </w:p>
    <w:p w:rsidR="00170A1A" w:rsidRPr="00C85192" w:rsidRDefault="00170A1A" w:rsidP="004D1A84">
      <w:pPr>
        <w:pStyle w:val="Hlistbullet2"/>
        <w:numPr>
          <w:ilvl w:val="0"/>
          <w:numId w:val="0"/>
        </w:numPr>
        <w:ind w:left="641"/>
      </w:pPr>
      <w:r w:rsidRPr="00C85192">
        <w:sym w:font="Wingdings" w:char="F0E0"/>
      </w:r>
      <w:r w:rsidRPr="00C85192">
        <w:t xml:space="preserve"> Example: Standard online questionnaire.</w:t>
      </w:r>
    </w:p>
    <w:p w:rsidR="00170A1A" w:rsidRPr="00C85192" w:rsidRDefault="00170A1A" w:rsidP="00320BBA">
      <w:pPr>
        <w:pStyle w:val="HHeading5"/>
        <w:rPr>
          <w:color w:val="538135" w:themeColor="accent6" w:themeShade="BF"/>
        </w:rPr>
      </w:pPr>
      <w:bookmarkStart w:id="148" w:name="_Toc433481229"/>
      <w:bookmarkStart w:id="149" w:name="_Toc433718137"/>
      <w:bookmarkStart w:id="150" w:name="_Toc434744507"/>
      <w:bookmarkStart w:id="151" w:name="_Toc436140056"/>
      <w:r w:rsidRPr="00C85192">
        <w:rPr>
          <w:color w:val="538135" w:themeColor="accent6" w:themeShade="BF"/>
        </w:rPr>
        <w:t>Choosing an evaluation approach</w:t>
      </w:r>
      <w:bookmarkEnd w:id="148"/>
      <w:bookmarkEnd w:id="149"/>
      <w:bookmarkEnd w:id="150"/>
      <w:r w:rsidRPr="00C85192">
        <w:rPr>
          <w:color w:val="538135" w:themeColor="accent6" w:themeShade="BF"/>
        </w:rPr>
        <w:t xml:space="preserve"> for NRN</w:t>
      </w:r>
      <w:bookmarkEnd w:id="151"/>
      <w:r w:rsidRPr="00C85192">
        <w:rPr>
          <w:color w:val="538135" w:themeColor="accent6" w:themeShade="BF"/>
        </w:rPr>
        <w:t xml:space="preserve">s </w:t>
      </w:r>
    </w:p>
    <w:p w:rsidR="00170A1A" w:rsidRPr="00C85192" w:rsidRDefault="00170A1A" w:rsidP="00340AD4">
      <w:pPr>
        <w:pStyle w:val="Heading6"/>
      </w:pPr>
      <w:r w:rsidRPr="00C85192">
        <w:t>What is required by the legal framework and what is up to the discretion of the Member States?</w:t>
      </w:r>
    </w:p>
    <w:p w:rsidR="00170A1A" w:rsidRPr="00C85192" w:rsidRDefault="00170A1A" w:rsidP="00975D9B">
      <w:pPr>
        <w:pStyle w:val="HStandard"/>
      </w:pPr>
      <w:r w:rsidRPr="00C85192">
        <w:t>The appropriate evaluation approach will in most cases consist of a mix of methods determined by:</w:t>
      </w:r>
    </w:p>
    <w:p w:rsidR="00170A1A" w:rsidRPr="00C85192" w:rsidRDefault="00170A1A" w:rsidP="00975D9B">
      <w:pPr>
        <w:pStyle w:val="Hlistbullet2"/>
      </w:pPr>
      <w:r w:rsidRPr="00C85192">
        <w:t>type of evaluation required (2017, 2019 and ex post),</w:t>
      </w:r>
    </w:p>
    <w:p w:rsidR="00170A1A" w:rsidRPr="00C85192" w:rsidRDefault="00170A1A" w:rsidP="00975D9B">
      <w:pPr>
        <w:pStyle w:val="Hlistbullet2"/>
      </w:pPr>
      <w:r w:rsidRPr="00C85192">
        <w:t>thematic priorities of the NRN’s activities,</w:t>
      </w:r>
    </w:p>
    <w:p w:rsidR="00170A1A" w:rsidRPr="00C85192" w:rsidRDefault="00170A1A" w:rsidP="00975D9B">
      <w:pPr>
        <w:pStyle w:val="Hlistbullet2"/>
      </w:pPr>
      <w:r w:rsidRPr="00C85192">
        <w:t>purpose and interest of the managing authorities and other stakeholders.</w:t>
      </w:r>
    </w:p>
    <w:p w:rsidR="00170A1A" w:rsidRPr="00C85192" w:rsidRDefault="00170A1A" w:rsidP="00975D9B">
      <w:pPr>
        <w:pStyle w:val="HStandard"/>
      </w:pPr>
      <w:r w:rsidRPr="00C85192">
        <w:t xml:space="preserve">The </w:t>
      </w:r>
      <w:r w:rsidRPr="00C85192">
        <w:rPr>
          <w:b/>
        </w:rPr>
        <w:t>legal framework</w:t>
      </w:r>
      <w:r w:rsidRPr="00C85192">
        <w:t xml:space="preserve"> requires focusing the NRN evaluation in 2017 on the quantification of programme achievements while using the NRN common output and programme-specific result indicators, and answering the common evaluation question linked to the NRN.</w:t>
      </w:r>
    </w:p>
    <w:p w:rsidR="00170A1A" w:rsidRPr="00C85192" w:rsidRDefault="00170A1A" w:rsidP="00975D9B">
      <w:pPr>
        <w:pStyle w:val="HStandard"/>
      </w:pPr>
      <w:r w:rsidRPr="00C85192">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w:t>
      </w:r>
      <w:r w:rsidRPr="00C85192">
        <w:noBreakHyphen/>
        <w:t xml:space="preserve"> specific result and impact indicators related to the NRN.</w:t>
      </w:r>
    </w:p>
    <w:p w:rsidR="00170A1A" w:rsidRPr="00C85192" w:rsidRDefault="00170A1A" w:rsidP="00975D9B">
      <w:pPr>
        <w:pStyle w:val="HStandard"/>
      </w:pPr>
      <w:r w:rsidRPr="00C85192">
        <w:t>The ex post evaluation requires the assessment of NRN(P) results and impacts against the backdrop of NRN objectives, RDP and horizontal CAP objectives.</w:t>
      </w:r>
    </w:p>
    <w:p w:rsidR="00170A1A" w:rsidRPr="00C85192" w:rsidRDefault="00170A1A" w:rsidP="00975D9B">
      <w:pPr>
        <w:pStyle w:val="HStandard"/>
      </w:pPr>
      <w:r w:rsidRPr="00C85192">
        <w:t xml:space="preserve">It is up to the </w:t>
      </w:r>
      <w:r w:rsidRPr="00C85192">
        <w:rPr>
          <w:b/>
        </w:rPr>
        <w:t>discretion of Member States</w:t>
      </w:r>
      <w:r w:rsidRPr="00C85192">
        <w:t xml:space="preserve"> to define: </w:t>
      </w:r>
    </w:p>
    <w:p w:rsidR="00170A1A" w:rsidRPr="00C85192" w:rsidRDefault="00170A1A" w:rsidP="00975D9B">
      <w:pPr>
        <w:pStyle w:val="Hlistbullet2"/>
      </w:pPr>
      <w:r w:rsidRPr="00C85192">
        <w:t>specific evaluation topics in respect to the NRN in the evaluation plan;</w:t>
      </w:r>
    </w:p>
    <w:p w:rsidR="00170A1A" w:rsidRPr="00C85192" w:rsidRDefault="00170A1A" w:rsidP="00975D9B">
      <w:pPr>
        <w:pStyle w:val="Hlistbullet2"/>
      </w:pPr>
      <w:r w:rsidRPr="00C85192">
        <w:t>NRN related programme-specific evaluation questions and indicators;</w:t>
      </w:r>
    </w:p>
    <w:p w:rsidR="00170A1A" w:rsidRPr="00C85192" w:rsidRDefault="00170A1A" w:rsidP="00975D9B">
      <w:pPr>
        <w:pStyle w:val="Hlistbullet2"/>
      </w:pPr>
      <w:r w:rsidRPr="00C85192">
        <w:t>scope and features of the monitoring and evaluation framework of the NRN, possibly connected to self-assessment;</w:t>
      </w:r>
    </w:p>
    <w:p w:rsidR="00170A1A" w:rsidRPr="00C85192" w:rsidRDefault="00170A1A" w:rsidP="00975D9B">
      <w:pPr>
        <w:pStyle w:val="Hlistbullet2"/>
      </w:pPr>
      <w:r w:rsidRPr="00C85192">
        <w:t>the evaluation approach in the Terms of Reference, which gets fine-tuned by the evaluator. In some cases, the Member States will go so far as to prescribe methodologies and tools, in other cases this will be left to the choice and competencies of the evaluator;</w:t>
      </w:r>
    </w:p>
    <w:p w:rsidR="00170A1A" w:rsidRPr="00C85192" w:rsidRDefault="00170A1A" w:rsidP="00975D9B">
      <w:pPr>
        <w:pStyle w:val="Hlistbullet2"/>
      </w:pPr>
      <w:r w:rsidRPr="00C85192">
        <w:t>specific evaluation activities, such as ongoing evaluation, and accompanying research and studies covering particular themes.</w:t>
      </w:r>
    </w:p>
    <w:p w:rsidR="00170A1A" w:rsidRPr="00C85192" w:rsidRDefault="00170A1A" w:rsidP="00975D9B">
      <w:pPr>
        <w:pStyle w:val="HStandard"/>
      </w:pPr>
      <w:r w:rsidRPr="00C85192">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170A1A" w:rsidRPr="00C85192" w:rsidRDefault="00170A1A" w:rsidP="00320BBA">
      <w:pPr>
        <w:pStyle w:val="HStandard"/>
        <w:rPr>
          <w:color w:val="538135" w:themeColor="accent6" w:themeShade="BF"/>
        </w:rPr>
      </w:pPr>
      <w:r w:rsidRPr="00C85192">
        <w:lastRenderedPageBreak/>
        <w:t>In any event, proportionality should be taken into account. The effort to apply the evaluation methods should match with the scope and scale of NRN tasks and operations.</w:t>
      </w:r>
    </w:p>
    <w:p w:rsidR="00170A1A" w:rsidRPr="00C85192" w:rsidRDefault="00170A1A" w:rsidP="00340AD4">
      <w:pPr>
        <w:pStyle w:val="Heading6"/>
      </w:pPr>
      <w:r w:rsidRPr="00C85192">
        <w:t>Melyek az értékelési megközelítés kiválasztásának fő lépései?</w:t>
      </w:r>
    </w:p>
    <w:p w:rsidR="00170A1A" w:rsidRPr="00C85192" w:rsidRDefault="00170A1A" w:rsidP="00975D9B">
      <w:pPr>
        <w:pStyle w:val="HStandard"/>
      </w:pPr>
      <w:r w:rsidRPr="00C85192">
        <w:t>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A folyamat javasolt lépései és azok várt eredménye:</w:t>
      </w:r>
    </w:p>
    <w:p w:rsidR="00170A1A" w:rsidRPr="00C85192" w:rsidRDefault="00170A1A">
      <w:pPr>
        <w:spacing w:after="0" w:line="240" w:lineRule="auto"/>
        <w:rPr>
          <w:rFonts w:cs="Arial"/>
          <w:color w:val="576C88" w:themeColor="text2" w:themeTint="D9"/>
          <w:sz w:val="20"/>
          <w:szCs w:val="20"/>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C85192" w:rsidTr="00975D9B">
        <w:tc>
          <w:tcPr>
            <w:tcW w:w="988" w:type="dxa"/>
            <w:shd w:val="clear" w:color="auto" w:fill="E7E6E6" w:themeFill="background2"/>
          </w:tcPr>
          <w:p w:rsidR="00170A1A" w:rsidRPr="00C85192" w:rsidRDefault="00170A1A" w:rsidP="00975D9B">
            <w:pPr>
              <w:pStyle w:val="HStandard"/>
              <w:jc w:val="center"/>
              <w:rPr>
                <w:b/>
                <w:color w:val="5B9BD5" w:themeColor="accent1"/>
                <w:sz w:val="18"/>
                <w:szCs w:val="18"/>
              </w:rPr>
            </w:pPr>
            <w:r w:rsidRPr="00C85192">
              <w:rPr>
                <w:b/>
                <w:color w:val="5B9BD5" w:themeColor="accent1"/>
                <w:sz w:val="18"/>
                <w:szCs w:val="18"/>
              </w:rPr>
              <w:t>1.</w:t>
            </w:r>
          </w:p>
        </w:tc>
        <w:tc>
          <w:tcPr>
            <w:tcW w:w="8028" w:type="dxa"/>
          </w:tcPr>
          <w:p w:rsidR="00170A1A" w:rsidRPr="00C85192" w:rsidRDefault="00170A1A" w:rsidP="004C05DD">
            <w:pPr>
              <w:pStyle w:val="HStandard"/>
              <w:rPr>
                <w:b/>
                <w:i/>
                <w:sz w:val="18"/>
                <w:szCs w:val="18"/>
              </w:rPr>
            </w:pPr>
            <w:r w:rsidRPr="00C85192">
              <w:rPr>
                <w:sz w:val="18"/>
                <w:szCs w:val="18"/>
              </w:rPr>
              <w:t>Az NVH-értékelés hatókörének meghatározása.</w:t>
            </w:r>
          </w:p>
        </w:tc>
      </w:tr>
      <w:tr w:rsidR="00170A1A" w:rsidRPr="00C85192" w:rsidTr="00975D9B">
        <w:tc>
          <w:tcPr>
            <w:tcW w:w="988" w:type="dxa"/>
            <w:shd w:val="clear" w:color="auto" w:fill="E7E6E6" w:themeFill="background2"/>
          </w:tcPr>
          <w:p w:rsidR="00170A1A" w:rsidRPr="00C85192" w:rsidRDefault="00170A1A" w:rsidP="00975D9B">
            <w:pPr>
              <w:pStyle w:val="HStandard"/>
              <w:jc w:val="center"/>
              <w:rPr>
                <w:b/>
                <w:color w:val="5B9BD5" w:themeColor="accent1"/>
                <w:sz w:val="18"/>
                <w:szCs w:val="18"/>
              </w:rPr>
            </w:pPr>
            <w:r w:rsidRPr="00C85192">
              <w:rPr>
                <w:b/>
                <w:color w:val="5B9BD5" w:themeColor="accent1"/>
                <w:sz w:val="18"/>
                <w:szCs w:val="18"/>
              </w:rPr>
              <w:t>2.</w:t>
            </w:r>
          </w:p>
        </w:tc>
        <w:tc>
          <w:tcPr>
            <w:tcW w:w="8028" w:type="dxa"/>
          </w:tcPr>
          <w:p w:rsidR="00170A1A" w:rsidRPr="00C85192" w:rsidRDefault="00170A1A" w:rsidP="004C05DD">
            <w:pPr>
              <w:pStyle w:val="HStandard"/>
              <w:spacing w:after="0"/>
              <w:rPr>
                <w:sz w:val="18"/>
                <w:szCs w:val="18"/>
              </w:rPr>
            </w:pPr>
            <w:r w:rsidRPr="00C85192">
              <w:rPr>
                <w:sz w:val="18"/>
                <w:szCs w:val="18"/>
              </w:rPr>
              <w:t>Az NVH eredményeinek és hatásainak értékeléséhez kapcsolódó kihívások megértése.</w:t>
            </w:r>
          </w:p>
        </w:tc>
      </w:tr>
      <w:tr w:rsidR="00170A1A" w:rsidRPr="00C85192" w:rsidTr="00975D9B">
        <w:tc>
          <w:tcPr>
            <w:tcW w:w="988" w:type="dxa"/>
            <w:shd w:val="clear" w:color="auto" w:fill="E7E6E6" w:themeFill="background2"/>
          </w:tcPr>
          <w:p w:rsidR="00170A1A" w:rsidRPr="00C85192" w:rsidRDefault="00170A1A" w:rsidP="00975D9B">
            <w:pPr>
              <w:pStyle w:val="HStandard"/>
              <w:jc w:val="center"/>
              <w:rPr>
                <w:b/>
                <w:color w:val="5B9BD5" w:themeColor="accent1"/>
                <w:sz w:val="18"/>
                <w:szCs w:val="18"/>
              </w:rPr>
            </w:pPr>
            <w:r w:rsidRPr="00C85192">
              <w:rPr>
                <w:b/>
                <w:color w:val="5B9BD5" w:themeColor="accent1"/>
                <w:sz w:val="18"/>
                <w:szCs w:val="18"/>
              </w:rPr>
              <w:t>3.</w:t>
            </w:r>
          </w:p>
        </w:tc>
        <w:tc>
          <w:tcPr>
            <w:tcW w:w="8028" w:type="dxa"/>
          </w:tcPr>
          <w:p w:rsidR="00170A1A" w:rsidRPr="00C85192" w:rsidRDefault="00170A1A" w:rsidP="004C05DD">
            <w:pPr>
              <w:spacing w:line="280" w:lineRule="atLeast"/>
              <w:rPr>
                <w:color w:val="576C88" w:themeColor="text2" w:themeTint="D9"/>
                <w:szCs w:val="18"/>
              </w:rPr>
            </w:pPr>
            <w:r w:rsidRPr="00C85192">
              <w:rPr>
                <w:color w:val="576C88" w:themeColor="text2" w:themeTint="D9"/>
                <w:szCs w:val="18"/>
              </w:rPr>
              <w:t>A lehetséges NVH-értékelési megközelítések és azok komparatív előnyeinek megismerése.</w:t>
            </w:r>
          </w:p>
        </w:tc>
      </w:tr>
      <w:tr w:rsidR="00170A1A" w:rsidRPr="00C85192" w:rsidTr="00975D9B">
        <w:tc>
          <w:tcPr>
            <w:tcW w:w="988" w:type="dxa"/>
            <w:shd w:val="clear" w:color="auto" w:fill="E7E6E6" w:themeFill="background2"/>
          </w:tcPr>
          <w:p w:rsidR="00170A1A" w:rsidRPr="00C85192" w:rsidRDefault="00170A1A" w:rsidP="00975D9B">
            <w:pPr>
              <w:pStyle w:val="HStandard"/>
              <w:jc w:val="center"/>
              <w:rPr>
                <w:b/>
                <w:color w:val="5B9BD5" w:themeColor="accent1"/>
                <w:sz w:val="18"/>
                <w:szCs w:val="18"/>
              </w:rPr>
            </w:pPr>
            <w:r w:rsidRPr="00C85192">
              <w:rPr>
                <w:b/>
                <w:color w:val="5B9BD5" w:themeColor="accent1"/>
                <w:sz w:val="18"/>
                <w:szCs w:val="18"/>
              </w:rPr>
              <w:t>4.</w:t>
            </w:r>
          </w:p>
        </w:tc>
        <w:tc>
          <w:tcPr>
            <w:tcW w:w="8028" w:type="dxa"/>
          </w:tcPr>
          <w:p w:rsidR="00170A1A" w:rsidRPr="00C85192" w:rsidRDefault="00170A1A" w:rsidP="004C05DD">
            <w:pPr>
              <w:pStyle w:val="HStandard"/>
              <w:rPr>
                <w:b/>
                <w:i/>
                <w:sz w:val="18"/>
                <w:szCs w:val="18"/>
              </w:rPr>
            </w:pPr>
            <w:r w:rsidRPr="00C85192">
              <w:rPr>
                <w:sz w:val="18"/>
                <w:szCs w:val="18"/>
              </w:rPr>
              <w:t>Döntéshozatal az NVH értékelési megközelítésének kiválasztásáról.</w:t>
            </w:r>
          </w:p>
        </w:tc>
      </w:tr>
      <w:tr w:rsidR="00170A1A" w:rsidRPr="00C85192" w:rsidTr="00975D9B">
        <w:tc>
          <w:tcPr>
            <w:tcW w:w="9016" w:type="dxa"/>
            <w:gridSpan w:val="2"/>
          </w:tcPr>
          <w:p w:rsidR="00170A1A" w:rsidRPr="00C85192" w:rsidRDefault="00170A1A" w:rsidP="0017106B">
            <w:pPr>
              <w:pStyle w:val="HStandard"/>
              <w:rPr>
                <w:b/>
                <w:i/>
                <w:sz w:val="18"/>
                <w:szCs w:val="18"/>
              </w:rPr>
            </w:pPr>
            <w:r w:rsidRPr="00C85192">
              <w:rPr>
                <w:b/>
                <w:sz w:val="18"/>
                <w:szCs w:val="18"/>
              </w:rPr>
              <w:t>Várt eredmény:</w:t>
            </w:r>
            <w:r w:rsidRPr="00C85192">
              <w:rPr>
                <w:b/>
                <w:i/>
                <w:sz w:val="18"/>
                <w:szCs w:val="18"/>
              </w:rPr>
              <w:t xml:space="preserve"> </w:t>
            </w:r>
            <w:r w:rsidRPr="00C85192">
              <w:rPr>
                <w:sz w:val="18"/>
                <w:szCs w:val="18"/>
              </w:rPr>
              <w:t>Döntés az értékelési megközelítés kiválasztásáról.</w:t>
            </w:r>
          </w:p>
        </w:tc>
      </w:tr>
    </w:tbl>
    <w:p w:rsidR="00170A1A" w:rsidRPr="00C85192" w:rsidRDefault="00170A1A" w:rsidP="00975D9B">
      <w:pPr>
        <w:pStyle w:val="HStandard"/>
      </w:pPr>
      <w:r w:rsidRPr="00C85192">
        <w:t>Steps in choosing the evaluation approach are detailed below.</w:t>
      </w:r>
    </w:p>
    <w:p w:rsidR="00170A1A" w:rsidRPr="00C85192" w:rsidRDefault="00170A1A" w:rsidP="007046A4">
      <w:pPr>
        <w:pStyle w:val="HStandard"/>
        <w:rPr>
          <w:b/>
        </w:rPr>
      </w:pPr>
      <w:r w:rsidRPr="00C85192">
        <w:rPr>
          <w:b/>
          <w:color w:val="ED7D31" w:themeColor="accent2"/>
        </w:rPr>
        <w:t>Step 1 - Identify the scope of the NRN evaluation</w:t>
      </w:r>
    </w:p>
    <w:p w:rsidR="00170A1A" w:rsidRPr="00C85192" w:rsidRDefault="00170A1A" w:rsidP="00340AD4">
      <w:pPr>
        <w:pStyle w:val="HStandard"/>
      </w:pPr>
      <w:r w:rsidRPr="00C85192">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170A1A" w:rsidRPr="00C85192" w:rsidRDefault="00170A1A" w:rsidP="00340AD4">
      <w:pPr>
        <w:pStyle w:val="HStandard"/>
      </w:pPr>
      <w:r w:rsidRPr="00C85192">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170A1A" w:rsidRPr="00C85192" w:rsidRDefault="00170A1A" w:rsidP="007046A4">
      <w:pPr>
        <w:pStyle w:val="HStandard"/>
        <w:rPr>
          <w:b/>
          <w:color w:val="ED7D31" w:themeColor="accent2"/>
        </w:rPr>
      </w:pPr>
      <w:r w:rsidRPr="00C85192">
        <w:rPr>
          <w:b/>
          <w:color w:val="ED7D31" w:themeColor="accent2"/>
        </w:rPr>
        <w:t>Step 2 - Understand the challenges in assessing NRN results and impacts</w:t>
      </w:r>
    </w:p>
    <w:p w:rsidR="00170A1A" w:rsidRPr="00C85192" w:rsidRDefault="00170A1A" w:rsidP="00340AD4">
      <w:pPr>
        <w:pStyle w:val="HStandard"/>
      </w:pPr>
      <w:r w:rsidRPr="00C85192">
        <w:t>Before selecting the evaluation approach, the evaluator needs to have a full picture of the challenges associated with the specificities of NRNs, including inter alia</w:t>
      </w:r>
      <w:r w:rsidRPr="00C85192">
        <w:rPr>
          <w:rFonts w:ascii="ZWAdobeF" w:hAnsi="ZWAdobeF"/>
          <w:color w:val="auto"/>
          <w:sz w:val="2"/>
          <w:szCs w:val="2"/>
        </w:rPr>
        <w:t>92F</w:t>
      </w:r>
      <w:r w:rsidRPr="008A12FB">
        <w:rPr>
          <w:rFonts w:ascii="ZWAdobeF" w:hAnsi="ZWAdobeF" w:cs="ZWAdobeF"/>
          <w:color w:val="auto"/>
          <w:sz w:val="2"/>
          <w:szCs w:val="2"/>
        </w:rPr>
        <w:t xml:space="preserve"> </w:t>
      </w:r>
      <w:r>
        <w:rPr>
          <w:rFonts w:ascii="ZWAdobeF" w:hAnsi="ZWAdobeF" w:cs="ZWAdobeF"/>
          <w:color w:val="auto"/>
          <w:sz w:val="2"/>
          <w:szCs w:val="2"/>
        </w:rPr>
        <w:t>F</w:t>
      </w:r>
      <w:r w:rsidRPr="008D0759">
        <w:rPr>
          <w:rStyle w:val="FootnoteReference"/>
        </w:rPr>
        <w:footnoteReference w:id="93"/>
      </w:r>
      <w:r w:rsidRPr="00C85192">
        <w:t>:</w:t>
      </w:r>
    </w:p>
    <w:p w:rsidR="00170A1A" w:rsidRPr="00C85192" w:rsidRDefault="00170A1A" w:rsidP="00340AD4">
      <w:pPr>
        <w:pStyle w:val="Hlistbullet2"/>
      </w:pPr>
      <w:bookmarkStart w:id="152" w:name="_Toc434744508"/>
      <w:r w:rsidRPr="00C85192">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sidRPr="00C85192">
        <w:rPr>
          <w:rFonts w:ascii="ZWAdobeF" w:hAnsi="ZWAdobeF"/>
          <w:color w:val="auto"/>
          <w:sz w:val="2"/>
          <w:szCs w:val="2"/>
        </w:rPr>
        <w:t>9</w:t>
      </w:r>
      <w:r>
        <w:rPr>
          <w:rFonts w:ascii="ZWAdobeF" w:hAnsi="ZWAdobeF" w:cs="ZWAdobeF"/>
          <w:color w:val="auto"/>
          <w:sz w:val="2"/>
          <w:szCs w:val="2"/>
        </w:rPr>
        <w:t>3F</w:t>
      </w:r>
      <w:r w:rsidRPr="008D0759">
        <w:rPr>
          <w:rStyle w:val="FootnoteReference"/>
        </w:rPr>
        <w:footnoteReference w:id="94"/>
      </w:r>
      <w:r w:rsidRPr="00C85192">
        <w:rPr>
          <w:rFonts w:ascii="ZWAdobeF" w:hAnsi="ZWAdobeF"/>
          <w:color w:val="auto"/>
          <w:sz w:val="2"/>
          <w:szCs w:val="2"/>
        </w:rPr>
        <w:t>3F</w:t>
      </w:r>
      <w:r w:rsidRPr="00C85192">
        <w:t>.</w:t>
      </w:r>
      <w:bookmarkEnd w:id="152"/>
    </w:p>
    <w:p w:rsidR="00170A1A" w:rsidRPr="00C85192" w:rsidRDefault="00170A1A" w:rsidP="00340AD4">
      <w:pPr>
        <w:pStyle w:val="Hlistbullet2"/>
      </w:pPr>
      <w:bookmarkStart w:id="153" w:name="_Toc434744509"/>
      <w:r w:rsidRPr="00C85192">
        <w:lastRenderedPageBreak/>
        <w:t>The scope of NRN activities can be very broad, since events and training activities may permeate all aspects of rural development policy (competitiveness, environment, socio-economic development), potentially generating results in all these spheres.</w:t>
      </w:r>
      <w:bookmarkEnd w:id="153"/>
    </w:p>
    <w:p w:rsidR="00170A1A" w:rsidRPr="00C85192" w:rsidRDefault="00170A1A" w:rsidP="00340AD4">
      <w:pPr>
        <w:pStyle w:val="Hlistbullet2"/>
        <w:rPr>
          <w:i/>
        </w:rPr>
      </w:pPr>
      <w:bookmarkStart w:id="154" w:name="_Toc434744510"/>
      <w:r w:rsidRPr="00C85192">
        <w:t>The assessment of NRN results and impacts should chisel out causal relations between NRN(P) activities and indicator values, notwithstanding the difficulties to observe intangible changes.</w:t>
      </w:r>
      <w:bookmarkEnd w:id="154"/>
      <w:r w:rsidRPr="00C85192">
        <w:t xml:space="preserve"> Put as a question: </w:t>
      </w:r>
      <w:r w:rsidRPr="00C85192">
        <w:rPr>
          <w:i/>
        </w:rPr>
        <w:t>“To what extent are observed changes expressed in indicators´ values due to the NRN’s activities or what changes would have happened without them?”</w:t>
      </w:r>
    </w:p>
    <w:p w:rsidR="00170A1A" w:rsidRPr="00C85192" w:rsidRDefault="00170A1A" w:rsidP="00340AD4">
      <w:pPr>
        <w:pStyle w:val="Hlistbullet2"/>
      </w:pPr>
      <w:bookmarkStart w:id="155" w:name="_Toc434744511"/>
      <w:r w:rsidRPr="00C85192">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155"/>
    </w:p>
    <w:p w:rsidR="00170A1A" w:rsidRPr="00C85192" w:rsidRDefault="00170A1A" w:rsidP="00340AD4">
      <w:pPr>
        <w:pStyle w:val="Hlistbullet2"/>
      </w:pPr>
      <w:bookmarkStart w:id="156" w:name="_Toc434744512"/>
      <w:r w:rsidRPr="00C85192">
        <w:t>In some cases, the NRN is merely considered as an auxiliary device to promote RDP measures, disregarding other NRN objectives (e.g. the generation of new knowledge, the contribution to rural innovation).</w:t>
      </w:r>
      <w:bookmarkEnd w:id="156"/>
      <w:r w:rsidRPr="00C85192">
        <w:t xml:space="preserve"> </w:t>
      </w:r>
    </w:p>
    <w:p w:rsidR="00170A1A" w:rsidRPr="00C85192" w:rsidRDefault="00170A1A" w:rsidP="00340AD4">
      <w:pPr>
        <w:pStyle w:val="Hlistbullet2"/>
      </w:pPr>
      <w:bookmarkStart w:id="157" w:name="_Toc434744513"/>
      <w:r w:rsidRPr="00C85192">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170A1A" w:rsidRPr="00C85192" w:rsidRDefault="00170A1A" w:rsidP="00340AD4">
      <w:pPr>
        <w:pStyle w:val="Hlistbullet2"/>
      </w:pPr>
      <w:r w:rsidRPr="00C85192">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157"/>
    </w:p>
    <w:p w:rsidR="00170A1A" w:rsidRPr="00C85192" w:rsidRDefault="00170A1A" w:rsidP="007046A4">
      <w:pPr>
        <w:pStyle w:val="HStandard"/>
        <w:rPr>
          <w:b/>
          <w:color w:val="ED7D31" w:themeColor="accent2"/>
        </w:rPr>
      </w:pPr>
      <w:r w:rsidRPr="00C85192">
        <w:rPr>
          <w:b/>
          <w:color w:val="ED7D31" w:themeColor="accent2"/>
        </w:rPr>
        <w:t>Step 3 - Obtain an overview of possible evaluation approaches for the NRN and their comparative advantages</w:t>
      </w:r>
    </w:p>
    <w:p w:rsidR="00170A1A" w:rsidRPr="00C85192" w:rsidRDefault="00170A1A" w:rsidP="00340AD4">
      <w:pPr>
        <w:pStyle w:val="HStandard"/>
      </w:pPr>
      <w:r w:rsidRPr="00C85192">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170A1A" w:rsidRPr="00C85192" w:rsidRDefault="00170A1A" w:rsidP="00340AD4">
      <w:pPr>
        <w:pStyle w:val="HStandard"/>
      </w:pPr>
      <w:r w:rsidRPr="00C85192">
        <w:t xml:space="preserve">The solution for sound NRN(P) evaluations is to rely on a well-designed mix of quantitative and qualitative approaches. </w:t>
      </w:r>
      <w:r w:rsidRPr="00C85192">
        <w:fldChar w:fldCharType="begin" w:fldLock="1"/>
      </w:r>
      <w:r w:rsidRPr="00C85192">
        <w:instrText xml:space="preserve"> REF _Ref451785030 \r \h </w:instrText>
      </w:r>
      <w:r>
        <w:instrText xml:space="preserve"> \* MERGEFORMAT </w:instrText>
      </w:r>
      <w:r w:rsidRPr="00C85192">
        <w:fldChar w:fldCharType="separate"/>
      </w:r>
      <w:r w:rsidRPr="00C85192">
        <w:t>Table 11</w:t>
      </w:r>
      <w:r w:rsidRPr="00C85192">
        <w:fldChar w:fldCharType="end"/>
      </w:r>
      <w:r w:rsidRPr="00C85192">
        <w:t xml:space="preserve"> provides an overview of the advantages and drawbacks of qualitative and quantitative approaches in the context of NRN(P) evaluations.</w:t>
      </w:r>
    </w:p>
    <w:p w:rsidR="00170A1A" w:rsidRPr="00C85192" w:rsidRDefault="00170A1A" w:rsidP="00340AD4">
      <w:pPr>
        <w:pStyle w:val="HHeadingtables"/>
      </w:pPr>
      <w:bookmarkStart w:id="158" w:name="_Toc436140067"/>
      <w:bookmarkStart w:id="159" w:name="_Toc436383153"/>
      <w:bookmarkStart w:id="160" w:name="_Toc451781915"/>
      <w:bookmarkStart w:id="161" w:name="_Ref451785030"/>
      <w:r w:rsidRPr="00C85192">
        <w:t xml:space="preserve">Overview </w:t>
      </w:r>
      <w:bookmarkEnd w:id="158"/>
      <w:bookmarkEnd w:id="159"/>
      <w:r w:rsidRPr="00C85192">
        <w:t>of the qualitative and quantitative evaluation approaches</w:t>
      </w:r>
      <w:bookmarkEnd w:id="160"/>
      <w:bookmarkEnd w:id="161"/>
      <w:r w:rsidRPr="00C85192">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170A1A" w:rsidRPr="00C85192" w:rsidTr="004C05DD">
        <w:trPr>
          <w:trHeight w:val="53"/>
          <w:tblHeader/>
          <w:jc w:val="center"/>
        </w:trPr>
        <w:tc>
          <w:tcPr>
            <w:tcW w:w="1441" w:type="dxa"/>
            <w:vMerge w:val="restart"/>
            <w:shd w:val="clear" w:color="auto" w:fill="E7E6E6" w:themeFill="background2"/>
          </w:tcPr>
          <w:p w:rsidR="00170A1A" w:rsidRPr="00C85192" w:rsidRDefault="00170A1A" w:rsidP="004C05DD">
            <w:pPr>
              <w:pStyle w:val="Htableleftbolt"/>
              <w:rPr>
                <w:color w:val="5B9BD5" w:themeColor="accent1"/>
              </w:rPr>
            </w:pPr>
            <w:r w:rsidRPr="00C85192">
              <w:rPr>
                <w:color w:val="5B9BD5" w:themeColor="accent1"/>
              </w:rPr>
              <w:t>Evaluation approach</w:t>
            </w:r>
          </w:p>
        </w:tc>
        <w:tc>
          <w:tcPr>
            <w:tcW w:w="5953" w:type="dxa"/>
            <w:gridSpan w:val="2"/>
            <w:shd w:val="clear" w:color="auto" w:fill="E7E6E6" w:themeFill="background2"/>
          </w:tcPr>
          <w:p w:rsidR="00170A1A" w:rsidRPr="00C85192" w:rsidRDefault="00170A1A" w:rsidP="004C05DD">
            <w:pPr>
              <w:pStyle w:val="Htableleftbolt"/>
              <w:jc w:val="center"/>
              <w:rPr>
                <w:color w:val="5B9BD5" w:themeColor="accent1"/>
              </w:rPr>
            </w:pPr>
            <w:r w:rsidRPr="00C85192">
              <w:rPr>
                <w:color w:val="5B9BD5" w:themeColor="accent1"/>
              </w:rPr>
              <w:t>Suitability for the evaluation of NRN(P)</w:t>
            </w:r>
          </w:p>
        </w:tc>
        <w:tc>
          <w:tcPr>
            <w:tcW w:w="2422" w:type="dxa"/>
            <w:shd w:val="clear" w:color="auto" w:fill="E7E6E6" w:themeFill="background2"/>
          </w:tcPr>
          <w:p w:rsidR="00170A1A" w:rsidRPr="00C85192" w:rsidRDefault="00170A1A" w:rsidP="004C05DD">
            <w:pPr>
              <w:pStyle w:val="Htableleftbolt"/>
              <w:rPr>
                <w:color w:val="5B9BD5" w:themeColor="accent1"/>
              </w:rPr>
            </w:pPr>
            <w:r w:rsidRPr="00C85192">
              <w:rPr>
                <w:color w:val="5B9BD5" w:themeColor="accent1"/>
              </w:rPr>
              <w:t>Examples of where to use</w:t>
            </w:r>
          </w:p>
        </w:tc>
      </w:tr>
      <w:tr w:rsidR="00170A1A" w:rsidRPr="00C85192" w:rsidTr="004C05DD">
        <w:trPr>
          <w:trHeight w:val="53"/>
          <w:tblHeader/>
          <w:jc w:val="center"/>
        </w:trPr>
        <w:tc>
          <w:tcPr>
            <w:tcW w:w="1441" w:type="dxa"/>
            <w:vMerge/>
            <w:shd w:val="clear" w:color="auto" w:fill="E7E6E6" w:themeFill="background2"/>
          </w:tcPr>
          <w:p w:rsidR="00170A1A" w:rsidRPr="00C85192" w:rsidRDefault="00170A1A" w:rsidP="004C05DD">
            <w:pPr>
              <w:pStyle w:val="Htableleftbolt"/>
              <w:rPr>
                <w:color w:val="5B9BD5" w:themeColor="accent1"/>
                <w:lang w:val="en-GB"/>
              </w:rPr>
            </w:pPr>
          </w:p>
        </w:tc>
        <w:tc>
          <w:tcPr>
            <w:tcW w:w="3131" w:type="dxa"/>
            <w:shd w:val="clear" w:color="auto" w:fill="E7E6E6" w:themeFill="background2"/>
          </w:tcPr>
          <w:p w:rsidR="00170A1A" w:rsidRPr="00C85192" w:rsidRDefault="00170A1A" w:rsidP="004C05DD">
            <w:pPr>
              <w:pStyle w:val="Htableleftbolt"/>
              <w:rPr>
                <w:color w:val="5B9BD5" w:themeColor="accent1"/>
              </w:rPr>
            </w:pPr>
            <w:r w:rsidRPr="00C85192">
              <w:rPr>
                <w:color w:val="5B9BD5" w:themeColor="accent1"/>
              </w:rPr>
              <w:t>Advantages</w:t>
            </w:r>
          </w:p>
        </w:tc>
        <w:tc>
          <w:tcPr>
            <w:tcW w:w="2822" w:type="dxa"/>
            <w:shd w:val="clear" w:color="auto" w:fill="E7E6E6" w:themeFill="background2"/>
          </w:tcPr>
          <w:p w:rsidR="00170A1A" w:rsidRPr="00C85192" w:rsidRDefault="00170A1A" w:rsidP="004C05DD">
            <w:pPr>
              <w:pStyle w:val="Htableleftbolt"/>
              <w:rPr>
                <w:color w:val="5B9BD5" w:themeColor="accent1"/>
              </w:rPr>
            </w:pPr>
            <w:r w:rsidRPr="00C85192">
              <w:rPr>
                <w:color w:val="5B9BD5" w:themeColor="accent1"/>
              </w:rPr>
              <w:t>Drawbacks</w:t>
            </w:r>
          </w:p>
        </w:tc>
        <w:tc>
          <w:tcPr>
            <w:tcW w:w="2422" w:type="dxa"/>
            <w:shd w:val="clear" w:color="auto" w:fill="E7E6E6" w:themeFill="background2"/>
          </w:tcPr>
          <w:p w:rsidR="00170A1A" w:rsidRPr="00C85192" w:rsidRDefault="00170A1A" w:rsidP="004C05DD">
            <w:pPr>
              <w:pStyle w:val="Htableleftbolt"/>
              <w:rPr>
                <w:color w:val="5B9BD5" w:themeColor="accent1"/>
                <w:lang w:val="en-GB"/>
              </w:rPr>
            </w:pPr>
          </w:p>
        </w:tc>
      </w:tr>
      <w:tr w:rsidR="00170A1A" w:rsidRPr="00C85192" w:rsidTr="004C05DD">
        <w:trPr>
          <w:jc w:val="center"/>
        </w:trPr>
        <w:tc>
          <w:tcPr>
            <w:tcW w:w="1441"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 xml:space="preserve">Qualitative approach </w:t>
            </w:r>
          </w:p>
        </w:tc>
        <w:tc>
          <w:tcPr>
            <w:tcW w:w="3131"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The results are not always precise. The approach heavily relies on methods that offer subjective information (interviews, participant surveys, questionnaires).</w:t>
            </w:r>
          </w:p>
          <w:p w:rsidR="00170A1A" w:rsidRPr="00C85192" w:rsidRDefault="00170A1A" w:rsidP="004C05DD">
            <w:pPr>
              <w:pStyle w:val="Htableleft"/>
              <w:rPr>
                <w:color w:val="576C88" w:themeColor="text2" w:themeTint="D9"/>
                <w:lang w:val="en-GB"/>
              </w:rPr>
            </w:pPr>
          </w:p>
        </w:tc>
        <w:tc>
          <w:tcPr>
            <w:tcW w:w="2422"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 xml:space="preserve">The results and impacts of </w:t>
            </w:r>
          </w:p>
          <w:p w:rsidR="00170A1A" w:rsidRPr="00C85192" w:rsidRDefault="00170A1A" w:rsidP="00170A1A">
            <w:pPr>
              <w:pStyle w:val="Htableleft"/>
              <w:numPr>
                <w:ilvl w:val="0"/>
                <w:numId w:val="17"/>
              </w:numPr>
              <w:rPr>
                <w:color w:val="576C88" w:themeColor="text2" w:themeTint="D9"/>
              </w:rPr>
            </w:pPr>
            <w:r w:rsidRPr="00C85192">
              <w:rPr>
                <w:color w:val="576C88" w:themeColor="text2" w:themeTint="D9"/>
              </w:rPr>
              <w:t>good practice collection;</w:t>
            </w:r>
          </w:p>
          <w:p w:rsidR="00170A1A" w:rsidRPr="00C85192" w:rsidRDefault="00170A1A" w:rsidP="00170A1A">
            <w:pPr>
              <w:pStyle w:val="Htableleft"/>
              <w:numPr>
                <w:ilvl w:val="0"/>
                <w:numId w:val="17"/>
              </w:numPr>
              <w:rPr>
                <w:color w:val="576C88" w:themeColor="text2" w:themeTint="D9"/>
              </w:rPr>
            </w:pPr>
            <w:r w:rsidRPr="00C85192">
              <w:rPr>
                <w:color w:val="576C88" w:themeColor="text2" w:themeTint="D9"/>
              </w:rPr>
              <w:t>the generation or exchange of new knowledge;</w:t>
            </w:r>
          </w:p>
          <w:p w:rsidR="00170A1A" w:rsidRPr="00C85192" w:rsidRDefault="00170A1A" w:rsidP="00170A1A">
            <w:pPr>
              <w:pStyle w:val="Htableleft"/>
              <w:numPr>
                <w:ilvl w:val="0"/>
                <w:numId w:val="17"/>
              </w:numPr>
              <w:rPr>
                <w:color w:val="576C88" w:themeColor="text2" w:themeTint="D9"/>
              </w:rPr>
            </w:pPr>
            <w:r w:rsidRPr="00C85192">
              <w:rPr>
                <w:color w:val="576C88" w:themeColor="text2" w:themeTint="D9"/>
              </w:rPr>
              <w:t>the participation in ENRD activities.</w:t>
            </w:r>
          </w:p>
        </w:tc>
      </w:tr>
      <w:tr w:rsidR="00170A1A" w:rsidRPr="00C85192" w:rsidTr="004C05DD">
        <w:trPr>
          <w:jc w:val="center"/>
        </w:trPr>
        <w:tc>
          <w:tcPr>
            <w:tcW w:w="1441"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Quantitative approach</w:t>
            </w:r>
          </w:p>
        </w:tc>
        <w:tc>
          <w:tcPr>
            <w:tcW w:w="3131"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The quantitative approach allows the assessment of net effects of precisely delimited NRN activities and make comparisons of evaluation results across NRNs/countries easier.</w:t>
            </w:r>
          </w:p>
        </w:tc>
        <w:tc>
          <w:tcPr>
            <w:tcW w:w="2822" w:type="dxa"/>
            <w:shd w:val="clear" w:color="auto" w:fill="auto"/>
          </w:tcPr>
          <w:p w:rsidR="00170A1A" w:rsidRPr="00C85192" w:rsidRDefault="00170A1A" w:rsidP="004C05DD">
            <w:pPr>
              <w:pStyle w:val="Htableleft"/>
              <w:rPr>
                <w:color w:val="576C88" w:themeColor="text2" w:themeTint="D9"/>
              </w:rPr>
            </w:pPr>
            <w:r w:rsidRPr="00C85192">
              <w:rPr>
                <w:color w:val="576C88" w:themeColor="text2" w:themeTint="D9"/>
              </w:rPr>
              <w:t xml:space="preserve">There are difficulties </w:t>
            </w:r>
          </w:p>
          <w:p w:rsidR="00170A1A" w:rsidRPr="00C85192" w:rsidRDefault="00170A1A" w:rsidP="00170A1A">
            <w:pPr>
              <w:pStyle w:val="Htablebullet"/>
              <w:rPr>
                <w:color w:val="576C88" w:themeColor="text2" w:themeTint="D9"/>
              </w:rPr>
            </w:pPr>
            <w:r w:rsidRPr="00C85192">
              <w:rPr>
                <w:color w:val="576C88" w:themeColor="text2" w:themeTint="D9"/>
              </w:rPr>
              <w:t>to quantify changes in the human and social capital;</w:t>
            </w:r>
          </w:p>
          <w:p w:rsidR="00170A1A" w:rsidRPr="00C85192" w:rsidRDefault="00170A1A" w:rsidP="00170A1A">
            <w:pPr>
              <w:pStyle w:val="Htablebullet"/>
              <w:rPr>
                <w:color w:val="576C88" w:themeColor="text2" w:themeTint="D9"/>
              </w:rPr>
            </w:pPr>
            <w:r w:rsidRPr="00C85192">
              <w:rPr>
                <w:color w:val="576C88" w:themeColor="text2" w:themeTint="D9"/>
              </w:rPr>
              <w:t xml:space="preserve">to delimitate beneficiaries from non-beneficiaries in many areas of NRN </w:t>
            </w:r>
            <w:r w:rsidRPr="00C85192">
              <w:rPr>
                <w:color w:val="576C88" w:themeColor="text2" w:themeTint="D9"/>
              </w:rPr>
              <w:lastRenderedPageBreak/>
              <w:t>interventions, at least in quantitative terms</w:t>
            </w:r>
          </w:p>
          <w:p w:rsidR="00170A1A" w:rsidRPr="00C85192" w:rsidRDefault="00170A1A" w:rsidP="00170A1A">
            <w:pPr>
              <w:pStyle w:val="Htablebullet"/>
              <w:rPr>
                <w:color w:val="576C88" w:themeColor="text2" w:themeTint="D9"/>
              </w:rPr>
            </w:pPr>
            <w:r w:rsidRPr="00C85192">
              <w:rPr>
                <w:color w:val="576C88" w:themeColor="text2" w:themeTint="D9"/>
              </w:rPr>
              <w:t>to obtain data for NRN activities which are meaningful in relation to the stipulated added value of NRN;</w:t>
            </w:r>
          </w:p>
          <w:p w:rsidR="00170A1A" w:rsidRPr="00C85192" w:rsidRDefault="00170A1A" w:rsidP="00170A1A">
            <w:pPr>
              <w:pStyle w:val="Htablebullet"/>
              <w:rPr>
                <w:color w:val="576C88" w:themeColor="text2" w:themeTint="D9"/>
              </w:rPr>
            </w:pPr>
            <w:r w:rsidRPr="00C85192">
              <w:rPr>
                <w:color w:val="576C88" w:themeColor="text2" w:themeTint="D9"/>
              </w:rPr>
              <w:t>to number activities and outputs in a context of matchless and nonrecurring interventions;</w:t>
            </w:r>
          </w:p>
          <w:p w:rsidR="00170A1A" w:rsidRPr="00C85192" w:rsidRDefault="00170A1A" w:rsidP="00170A1A">
            <w:pPr>
              <w:pStyle w:val="Htablebullet"/>
              <w:rPr>
                <w:color w:val="576C88" w:themeColor="text2" w:themeTint="D9"/>
              </w:rPr>
            </w:pPr>
            <w:r w:rsidRPr="00C85192">
              <w:rPr>
                <w:color w:val="576C88" w:themeColor="text2" w:themeTint="D9"/>
              </w:rPr>
              <w:t>to net out any observed effects by pondering the influence of other interventions;</w:t>
            </w:r>
          </w:p>
          <w:p w:rsidR="00170A1A" w:rsidRPr="00C85192" w:rsidRDefault="00170A1A" w:rsidP="00170A1A">
            <w:pPr>
              <w:pStyle w:val="Htablebullet"/>
              <w:rPr>
                <w:color w:val="576C88" w:themeColor="text2" w:themeTint="D9"/>
              </w:rPr>
            </w:pPr>
            <w:r w:rsidRPr="00C85192">
              <w:rPr>
                <w:color w:val="576C88" w:themeColor="text2" w:themeTint="D9"/>
              </w:rPr>
              <w:t>to get reliable quantitative data over a longer period of time (as in the past mostly qualitative information on NRN has been collected).</w:t>
            </w:r>
          </w:p>
        </w:tc>
        <w:tc>
          <w:tcPr>
            <w:tcW w:w="2422" w:type="dxa"/>
            <w:shd w:val="clear" w:color="auto" w:fill="auto"/>
          </w:tcPr>
          <w:p w:rsidR="00170A1A" w:rsidRPr="00C85192" w:rsidRDefault="00170A1A" w:rsidP="00170A1A">
            <w:pPr>
              <w:pStyle w:val="Htableleft"/>
              <w:numPr>
                <w:ilvl w:val="0"/>
                <w:numId w:val="17"/>
              </w:numPr>
            </w:pPr>
            <w:r w:rsidRPr="00C85192">
              <w:rPr>
                <w:color w:val="576C88" w:themeColor="text2" w:themeTint="D9"/>
              </w:rPr>
              <w:lastRenderedPageBreak/>
              <w:t>Outputs of NRN activities, e.g. the three common output indicators;</w:t>
            </w:r>
          </w:p>
          <w:p w:rsidR="00170A1A" w:rsidRPr="00C85192" w:rsidRDefault="00170A1A" w:rsidP="00170A1A">
            <w:pPr>
              <w:pStyle w:val="Htableleft"/>
              <w:numPr>
                <w:ilvl w:val="0"/>
                <w:numId w:val="17"/>
              </w:numPr>
            </w:pPr>
            <w:r w:rsidRPr="00C85192">
              <w:rPr>
                <w:color w:val="576C88" w:themeColor="text2" w:themeTint="D9"/>
              </w:rPr>
              <w:t xml:space="preserve">Results of NRN activities where the </w:t>
            </w:r>
            <w:r w:rsidRPr="00C85192">
              <w:rPr>
                <w:color w:val="576C88" w:themeColor="text2" w:themeTint="D9"/>
              </w:rPr>
              <w:lastRenderedPageBreak/>
              <w:t>use of outputs can be clearly attributed to certain beneficiaries or users</w:t>
            </w:r>
            <w:r w:rsidRPr="00C85192">
              <w:t xml:space="preserve">, e.g. </w:t>
            </w:r>
          </w:p>
          <w:p w:rsidR="00170A1A" w:rsidRPr="00C85192" w:rsidRDefault="00170A1A" w:rsidP="00170A1A">
            <w:pPr>
              <w:pStyle w:val="Htableleft"/>
              <w:numPr>
                <w:ilvl w:val="1"/>
                <w:numId w:val="17"/>
              </w:numPr>
              <w:ind w:left="624" w:hanging="284"/>
            </w:pPr>
            <w:r w:rsidRPr="00C85192">
              <w:t>the degree of information enquired among readers of newsletters;</w:t>
            </w:r>
          </w:p>
          <w:p w:rsidR="00170A1A" w:rsidRPr="00C85192" w:rsidRDefault="00170A1A" w:rsidP="00170A1A">
            <w:pPr>
              <w:pStyle w:val="Htableleft"/>
              <w:numPr>
                <w:ilvl w:val="1"/>
                <w:numId w:val="17"/>
              </w:numPr>
              <w:ind w:left="624" w:hanging="284"/>
            </w:pPr>
            <w:r w:rsidRPr="00C85192">
              <w:t>the degree of satisfaction of inquirers in search for support;</w:t>
            </w:r>
          </w:p>
          <w:p w:rsidR="00170A1A" w:rsidRPr="00C85192" w:rsidRDefault="00170A1A" w:rsidP="00170A1A">
            <w:pPr>
              <w:pStyle w:val="Htableleft"/>
              <w:numPr>
                <w:ilvl w:val="1"/>
                <w:numId w:val="17"/>
              </w:numPr>
              <w:ind w:left="624" w:hanging="284"/>
            </w:pPr>
            <w:r w:rsidRPr="00C85192">
              <w:t>the degree of use of the website, distinguished by offers (downloads, blogs…)</w:t>
            </w:r>
          </w:p>
          <w:p w:rsidR="00170A1A" w:rsidRPr="00C85192" w:rsidRDefault="00170A1A" w:rsidP="004C05DD">
            <w:pPr>
              <w:pStyle w:val="Htableleft"/>
            </w:pPr>
            <w:r w:rsidRPr="00C85192">
              <w:t xml:space="preserve">Measuring involvement of stakeholders </w:t>
            </w:r>
          </w:p>
        </w:tc>
      </w:tr>
    </w:tbl>
    <w:p w:rsidR="00170A1A" w:rsidRPr="00C85192" w:rsidRDefault="00170A1A" w:rsidP="00340AD4">
      <w:pPr>
        <w:pStyle w:val="HStandard"/>
      </w:pPr>
      <w:r w:rsidRPr="00C85192">
        <w:rPr>
          <w:b/>
        </w:rPr>
        <w:lastRenderedPageBreak/>
        <w:t xml:space="preserve">Mixing of both approaches </w:t>
      </w:r>
      <w:r w:rsidRPr="00C85192">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170A1A" w:rsidRPr="00C85192" w:rsidRDefault="00170A1A" w:rsidP="007046A4">
      <w:pPr>
        <w:pStyle w:val="HStandard"/>
        <w:rPr>
          <w:b/>
          <w:color w:val="ED7D31" w:themeColor="accent2"/>
        </w:rPr>
      </w:pPr>
      <w:r w:rsidRPr="00C85192">
        <w:rPr>
          <w:b/>
          <w:color w:val="ED7D31" w:themeColor="accent2"/>
        </w:rPr>
        <w:t>Step 4 - Decide on the NRN evaluation approach</w:t>
      </w:r>
    </w:p>
    <w:p w:rsidR="00170A1A" w:rsidRPr="00C85192" w:rsidRDefault="00170A1A" w:rsidP="00340AD4">
      <w:pPr>
        <w:pStyle w:val="HStandard"/>
      </w:pPr>
      <w:r w:rsidRPr="00C85192">
        <w:t>Apart from considering the advantages and drawbacks of different evaluation approaches, the selection of a robust evaluation approach should account for:</w:t>
      </w:r>
    </w:p>
    <w:p w:rsidR="00170A1A" w:rsidRPr="00C85192" w:rsidRDefault="00170A1A" w:rsidP="00340AD4">
      <w:pPr>
        <w:pStyle w:val="Hlistbullet2"/>
      </w:pPr>
      <w:r w:rsidRPr="00C85192">
        <w:t xml:space="preserve">the validity of results offered by the evaluation approach, </w:t>
      </w:r>
    </w:p>
    <w:p w:rsidR="00170A1A" w:rsidRPr="00C85192" w:rsidRDefault="00170A1A" w:rsidP="00340AD4">
      <w:pPr>
        <w:pStyle w:val="Hlistbullet2"/>
      </w:pPr>
      <w:r w:rsidRPr="00C85192">
        <w:t xml:space="preserve">the scale of measurement, </w:t>
      </w:r>
    </w:p>
    <w:p w:rsidR="00170A1A" w:rsidRPr="00C85192" w:rsidRDefault="00170A1A" w:rsidP="00340AD4">
      <w:pPr>
        <w:pStyle w:val="Hlistbullet2"/>
      </w:pPr>
      <w:r w:rsidRPr="00C85192">
        <w:t>the possibility to model output, result and impact indicators into a coherent cause-effect structure,</w:t>
      </w:r>
    </w:p>
    <w:p w:rsidR="00170A1A" w:rsidRPr="00C85192" w:rsidRDefault="00170A1A" w:rsidP="00340AD4">
      <w:pPr>
        <w:pStyle w:val="Hlistbullet2"/>
      </w:pPr>
      <w:r w:rsidRPr="00C85192">
        <w:t xml:space="preserve">the ability to analyse the counterfactual where it seems to be feasible, </w:t>
      </w:r>
    </w:p>
    <w:p w:rsidR="00170A1A" w:rsidRPr="00C85192" w:rsidRDefault="00170A1A" w:rsidP="00340AD4">
      <w:pPr>
        <w:pStyle w:val="Hlistbullet2"/>
      </w:pPr>
      <w:r w:rsidRPr="00C85192">
        <w:t>the ability to capture unintended effects and</w:t>
      </w:r>
    </w:p>
    <w:p w:rsidR="00170A1A" w:rsidRPr="00C85192" w:rsidRDefault="00170A1A" w:rsidP="00340AD4">
      <w:pPr>
        <w:pStyle w:val="Hlistbullet2"/>
      </w:pPr>
      <w:r w:rsidRPr="00C85192">
        <w:t>the antecedents and the actual time horizon of the intervention</w:t>
      </w:r>
      <w:r w:rsidRPr="00C85192">
        <w:rPr>
          <w:rFonts w:ascii="ZWAdobeF" w:hAnsi="ZWAdobeF"/>
          <w:color w:val="auto"/>
          <w:sz w:val="2"/>
          <w:szCs w:val="2"/>
        </w:rPr>
        <w:t>94F</w:t>
      </w:r>
      <w:r>
        <w:rPr>
          <w:rFonts w:ascii="ZWAdobeF" w:hAnsi="ZWAdobeF" w:cs="ZWAdobeF"/>
          <w:color w:val="auto"/>
          <w:sz w:val="2"/>
          <w:szCs w:val="2"/>
        </w:rPr>
        <w:t>4F</w:t>
      </w:r>
      <w:r w:rsidRPr="008D0759">
        <w:rPr>
          <w:rStyle w:val="FootnoteReference"/>
        </w:rPr>
        <w:footnoteReference w:id="95"/>
      </w:r>
      <w:r w:rsidRPr="00C85192">
        <w:t>.</w:t>
      </w:r>
    </w:p>
    <w:p w:rsidR="00170A1A" w:rsidRPr="00C85192" w:rsidRDefault="00170A1A" w:rsidP="00340AD4">
      <w:pPr>
        <w:pStyle w:val="HStandard"/>
      </w:pPr>
      <w:r w:rsidRPr="00C85192">
        <w:t xml:space="preserve">Given the complexity of NRN evaluation, a </w:t>
      </w:r>
      <w:r w:rsidRPr="00C85192">
        <w:rPr>
          <w:b/>
        </w:rPr>
        <w:t>mixed approach</w:t>
      </w:r>
      <w:r w:rsidRPr="00C85192">
        <w:t>, combining qualitative with quantitative methods will be the appropriate choice.</w:t>
      </w:r>
    </w:p>
    <w:p w:rsidR="00170A1A" w:rsidRPr="00C85192" w:rsidRDefault="00170A1A" w:rsidP="00340AD4">
      <w:pPr>
        <w:pStyle w:val="HStandard"/>
      </w:pPr>
      <w:r w:rsidRPr="00C85192">
        <w:t xml:space="preserve">Particularly at the higher level of NRN objectives, at the level of NRN results and impacts, the character of NRNs implies a strong emphasis on qualitative evaluation:  </w:t>
      </w:r>
    </w:p>
    <w:p w:rsidR="00170A1A" w:rsidRPr="00C85192" w:rsidRDefault="00170A1A" w:rsidP="00340AD4">
      <w:pPr>
        <w:pStyle w:val="Hlistbullet2"/>
      </w:pPr>
      <w:r w:rsidRPr="00C85192">
        <w:lastRenderedPageBreak/>
        <w:t xml:space="preserve">firstly, because the sphere of activities and influence of the NRN goes beyond the RDP beneficiaries and affects the wider range of the rural actors; </w:t>
      </w:r>
    </w:p>
    <w:p w:rsidR="00170A1A" w:rsidRPr="00C85192" w:rsidRDefault="00170A1A" w:rsidP="00340AD4">
      <w:pPr>
        <w:pStyle w:val="Hlistbullet2"/>
      </w:pPr>
      <w:r w:rsidRPr="00C85192">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170A1A" w:rsidRPr="00C85192" w:rsidRDefault="00170A1A">
      <w:pPr>
        <w:spacing w:after="0" w:line="240" w:lineRule="auto"/>
        <w:rPr>
          <w:b/>
          <w:bCs/>
          <w:color w:val="576C88" w:themeColor="text2" w:themeTint="D9"/>
          <w:sz w:val="20"/>
        </w:rPr>
      </w:pPr>
    </w:p>
    <w:p w:rsidR="00170A1A" w:rsidRPr="00C85192" w:rsidRDefault="00170A1A" w:rsidP="00340AD4">
      <w:pPr>
        <w:pStyle w:val="Heading6"/>
      </w:pPr>
      <w:r w:rsidRPr="00C85192">
        <w:t>Counterfactual assessment: where and when?</w:t>
      </w:r>
    </w:p>
    <w:p w:rsidR="00170A1A" w:rsidRPr="00C85192" w:rsidRDefault="00170A1A" w:rsidP="00340AD4">
      <w:pPr>
        <w:pStyle w:val="HStandard"/>
      </w:pPr>
      <w:r w:rsidRPr="00C85192">
        <w:t>Sound evaluation practices require the counterfactual to attribute observable effects to programme interventions</w:t>
      </w:r>
      <w:r w:rsidRPr="00C85192">
        <w:rPr>
          <w:rFonts w:ascii="ZWAdobeF" w:hAnsi="ZWAdobeF"/>
          <w:color w:val="auto"/>
          <w:sz w:val="2"/>
          <w:szCs w:val="2"/>
        </w:rPr>
        <w:t>95F</w:t>
      </w:r>
      <w:r w:rsidRPr="008D0759">
        <w:rPr>
          <w:rStyle w:val="FootnoteReference"/>
        </w:rPr>
        <w:footnoteReference w:id="96"/>
      </w:r>
      <w:r w:rsidRPr="00C85192">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170A1A" w:rsidRPr="00C85192" w:rsidRDefault="00170A1A" w:rsidP="00340AD4">
      <w:pPr>
        <w:pStyle w:val="HStandard"/>
        <w:rPr>
          <w:b/>
        </w:rPr>
      </w:pPr>
      <w:r w:rsidRPr="00C85192">
        <w:t>All in all, the more targeted and standardised the type of intervention is, the more appropriate and feasible will be the counterfactual assessment</w:t>
      </w:r>
      <w:r w:rsidRPr="00C85192">
        <w:rPr>
          <w:rFonts w:ascii="ZWAdobeF" w:hAnsi="ZWAdobeF"/>
          <w:color w:val="auto"/>
          <w:sz w:val="2"/>
          <w:szCs w:val="2"/>
        </w:rPr>
        <w:t>96F</w:t>
      </w:r>
      <w:r w:rsidRPr="008D0759">
        <w:rPr>
          <w:rStyle w:val="FootnoteReference"/>
        </w:rPr>
        <w:footnoteReference w:id="97"/>
      </w:r>
      <w:r w:rsidRPr="00C85192">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sidRPr="00C85192">
        <w:rPr>
          <w:rFonts w:ascii="ZWAdobeF" w:hAnsi="ZWAdobeF"/>
          <w:color w:val="auto"/>
          <w:sz w:val="2"/>
          <w:szCs w:val="2"/>
        </w:rPr>
        <w:t>97F</w:t>
      </w:r>
      <w:bookmarkStart w:id="162" w:name="_Toc434744515"/>
      <w:bookmarkStart w:id="163" w:name="_Toc433481230"/>
      <w:bookmarkStart w:id="164" w:name="_Toc433718138"/>
      <w:bookmarkStart w:id="165" w:name="_Toc436140057"/>
      <w:r w:rsidRPr="00BC7932">
        <w:rPr>
          <w:rFonts w:ascii="ZWAdobeF" w:hAnsi="ZWAdobeF" w:cs="ZWAdobeF"/>
          <w:color w:val="auto"/>
          <w:sz w:val="2"/>
          <w:szCs w:val="2"/>
        </w:rPr>
        <w:t xml:space="preserve"> </w:t>
      </w:r>
      <w:r>
        <w:rPr>
          <w:rFonts w:ascii="ZWAdobeF" w:hAnsi="ZWAdobeF" w:cs="ZWAdobeF"/>
          <w:color w:val="auto"/>
          <w:sz w:val="2"/>
          <w:szCs w:val="2"/>
        </w:rPr>
        <w:t>F</w:t>
      </w:r>
      <w:r w:rsidRPr="008D0759">
        <w:rPr>
          <w:rStyle w:val="FootnoteReference"/>
        </w:rPr>
        <w:footnoteReference w:id="98"/>
      </w:r>
      <w:r w:rsidRPr="00C85192">
        <w:t>.</w:t>
      </w:r>
    </w:p>
    <w:p w:rsidR="00170A1A" w:rsidRPr="00C85192" w:rsidRDefault="00170A1A" w:rsidP="00340AD4">
      <w:pPr>
        <w:pStyle w:val="Heading6"/>
      </w:pPr>
      <w:r w:rsidRPr="00C85192">
        <w:t>Choosing evaluation methods for NRNs</w:t>
      </w:r>
      <w:bookmarkEnd w:id="162"/>
      <w:bookmarkEnd w:id="163"/>
      <w:bookmarkEnd w:id="164"/>
      <w:bookmarkEnd w:id="165"/>
    </w:p>
    <w:p w:rsidR="00170A1A" w:rsidRPr="00C85192" w:rsidRDefault="00170A1A" w:rsidP="00340AD4">
      <w:pPr>
        <w:pStyle w:val="HStandard"/>
      </w:pPr>
      <w:r w:rsidRPr="00C85192">
        <w:t xml:space="preserve">Choosing a mixed-methods approach means to systematically adopt various perspectives and observation devices. The Helpdesk’s Guidance on </w:t>
      </w:r>
      <w:r w:rsidRPr="00C85192">
        <w:rPr>
          <w:i/>
        </w:rPr>
        <w:t>“Capturing the Impacts of LEADER and of measures to improve the quality of life in rural areas”</w:t>
      </w:r>
      <w:r w:rsidRPr="00C85192">
        <w:rPr>
          <w:rFonts w:ascii="ZWAdobeF" w:hAnsi="ZWAdobeF"/>
          <w:color w:val="auto"/>
          <w:sz w:val="2"/>
          <w:szCs w:val="2"/>
        </w:rPr>
        <w:t>9</w:t>
      </w:r>
      <w:r w:rsidRPr="008D0759">
        <w:rPr>
          <w:rStyle w:val="FootnoteReference"/>
        </w:rPr>
        <w:footnoteReference w:id="99"/>
      </w:r>
      <w:r w:rsidRPr="00C85192">
        <w:rPr>
          <w:rFonts w:ascii="ZWAdobeF" w:hAnsi="ZWAdobeF"/>
          <w:color w:val="auto"/>
          <w:sz w:val="2"/>
          <w:szCs w:val="2"/>
        </w:rPr>
        <w:t>8F</w:t>
      </w:r>
      <w:r w:rsidRPr="00C85192">
        <w:t xml:space="preserve"> devotes a whole chapter to “matching complexity with triangulation”. A closer look at the term reveals that </w:t>
      </w:r>
      <w:r w:rsidRPr="00C85192">
        <w:rPr>
          <w:b/>
        </w:rPr>
        <w:t>triangulation</w:t>
      </w:r>
      <w:r w:rsidRPr="00C85192">
        <w:t xml:space="preserve"> can refer to different aspects:</w:t>
      </w:r>
    </w:p>
    <w:p w:rsidR="00170A1A" w:rsidRPr="00C85192" w:rsidRDefault="00170A1A" w:rsidP="00340AD4">
      <w:pPr>
        <w:pStyle w:val="Hlistbullet2"/>
      </w:pPr>
      <w:r w:rsidRPr="00C85192">
        <w:t>Evaluator triangulation involves a broad range of competences within the evaluation team;</w:t>
      </w:r>
    </w:p>
    <w:p w:rsidR="00170A1A" w:rsidRPr="00C85192" w:rsidRDefault="00170A1A" w:rsidP="00340AD4">
      <w:pPr>
        <w:pStyle w:val="Hlistbullet2"/>
      </w:pPr>
      <w:r w:rsidRPr="00C85192">
        <w:t>Methodological triangulation, which means using more than one method to gather data (such as interviews, questionnaires, focus groups and documentary analysis);</w:t>
      </w:r>
    </w:p>
    <w:p w:rsidR="00170A1A" w:rsidRPr="00C85192" w:rsidRDefault="00170A1A" w:rsidP="00340AD4">
      <w:pPr>
        <w:pStyle w:val="Hlistbullet2"/>
      </w:pPr>
      <w:r w:rsidRPr="00C85192">
        <w:t>Data triangulation in respect to space and people.</w:t>
      </w:r>
    </w:p>
    <w:p w:rsidR="00170A1A" w:rsidRPr="00C85192" w:rsidRDefault="00170A1A" w:rsidP="00340AD4">
      <w:pPr>
        <w:pStyle w:val="Heading6"/>
      </w:pPr>
      <w:r w:rsidRPr="00C85192">
        <w:t>Melyek az NVH értékelésére alkalmas módszerek?</w:t>
      </w:r>
    </w:p>
    <w:p w:rsidR="00170A1A" w:rsidRPr="00C85192" w:rsidRDefault="00170A1A" w:rsidP="00340AD4">
      <w:pPr>
        <w:pStyle w:val="HStandard"/>
      </w:pPr>
      <w:r w:rsidRPr="00C85192">
        <w:t xml:space="preserve">A </w:t>
      </w:r>
      <w:r w:rsidRPr="00C85192">
        <w:fldChar w:fldCharType="begin" w:fldLock="1"/>
      </w:r>
      <w:r w:rsidRPr="00C85192">
        <w:instrText xml:space="preserve"> REF _Ref433724277 \r \h  \* MERGEFORMAT </w:instrText>
      </w:r>
      <w:r w:rsidRPr="00C85192">
        <w:fldChar w:fldCharType="separate"/>
      </w:r>
      <w:r w:rsidRPr="00C85192">
        <w:t>Figure 19</w:t>
      </w:r>
      <w:r w:rsidRPr="00C85192">
        <w:fldChar w:fldCharType="end"/>
      </w:r>
      <w:r w:rsidRPr="00C85192">
        <w:t xml:space="preserve"> a teljesség igénye nélkül mutatja be a VFP-beavatkozások értékeléséhez javasolt módszereket. A megbízható módszertani megközelítések különféle módszerek csoportjait tartalmazzák, amelyekkel többdimenziós kép alkotható a tényleges helyzetről.</w:t>
      </w:r>
    </w:p>
    <w:p w:rsidR="00170A1A" w:rsidRPr="00C85192" w:rsidRDefault="00170A1A">
      <w:pPr>
        <w:spacing w:after="0" w:line="240" w:lineRule="auto"/>
        <w:rPr>
          <w:rFonts w:cs="Arial"/>
          <w:color w:val="576C88" w:themeColor="text2" w:themeTint="D9"/>
          <w:sz w:val="20"/>
          <w:szCs w:val="20"/>
        </w:rPr>
      </w:pPr>
    </w:p>
    <w:p w:rsidR="00170A1A" w:rsidRPr="00C85192" w:rsidRDefault="00170A1A" w:rsidP="0099477D">
      <w:pPr>
        <w:pStyle w:val="HHeadingfigures"/>
        <w:numPr>
          <w:ilvl w:val="0"/>
          <w:numId w:val="40"/>
        </w:numPr>
        <w:ind w:left="284" w:hanging="218"/>
      </w:pPr>
      <w:bookmarkStart w:id="166" w:name="_Ref433724277"/>
      <w:bookmarkStart w:id="167" w:name="_Toc436140076"/>
      <w:bookmarkStart w:id="168" w:name="_Toc436383168"/>
      <w:bookmarkStart w:id="169" w:name="_Toc451781938"/>
      <w:r w:rsidRPr="00C85192">
        <w:t>ábra: Az NVH(P)-k értékelésének módszerei</w:t>
      </w:r>
      <w:bookmarkEnd w:id="166"/>
      <w:bookmarkEnd w:id="167"/>
      <w:bookmarkEnd w:id="168"/>
      <w:bookmarkEnd w:id="169"/>
    </w:p>
    <w:p w:rsidR="00170A1A" w:rsidRPr="00C85192" w:rsidRDefault="00170A1A" w:rsidP="00320BBA">
      <w:pPr>
        <w:jc w:val="center"/>
      </w:pPr>
      <w:r>
        <w:rPr>
          <w:noProof/>
          <w:lang w:eastAsia="en-GB"/>
        </w:rPr>
        <w:lastRenderedPageBreak/>
        <w:drawing>
          <wp:inline distT="0" distB="0" distL="0" distR="0" wp14:anchorId="792197A1" wp14:editId="70EE2CBD">
            <wp:extent cx="5771719" cy="4245636"/>
            <wp:effectExtent l="0" t="0" r="635"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82216" cy="4253358"/>
                    </a:xfrm>
                    <a:prstGeom prst="rect">
                      <a:avLst/>
                    </a:prstGeom>
                    <a:noFill/>
                  </pic:spPr>
                </pic:pic>
              </a:graphicData>
            </a:graphic>
          </wp:inline>
        </w:drawing>
      </w:r>
    </w:p>
    <w:p w:rsidR="00170A1A" w:rsidRPr="00C85192" w:rsidRDefault="00170A1A" w:rsidP="00320BBA">
      <w:pPr>
        <w:pStyle w:val="HSource"/>
      </w:pPr>
      <w:r w:rsidRPr="00C85192">
        <w:t>Forrás: Európai vidékfejlesztési értékelési támogató szolgálat, 2016</w:t>
      </w:r>
    </w:p>
    <w:p w:rsidR="00170A1A" w:rsidRPr="00C85192" w:rsidRDefault="00170A1A" w:rsidP="00340AD4">
      <w:pPr>
        <w:pStyle w:val="HStandard"/>
      </w:pPr>
      <w:r w:rsidRPr="00C85192">
        <w:t xml:space="preserve">A sárga mezőben felsorolt módszerek nagy vonalakban a következők szerint oszthatók fel: </w:t>
      </w:r>
    </w:p>
    <w:p w:rsidR="00170A1A" w:rsidRPr="00C85192" w:rsidRDefault="00170A1A" w:rsidP="00340AD4">
      <w:pPr>
        <w:pStyle w:val="Hlistbullet2"/>
      </w:pPr>
      <w:r w:rsidRPr="00C85192">
        <w:t>felmérések,</w:t>
      </w:r>
    </w:p>
    <w:p w:rsidR="00170A1A" w:rsidRPr="00C85192" w:rsidRDefault="00170A1A" w:rsidP="00340AD4">
      <w:pPr>
        <w:pStyle w:val="Hlistbullet2"/>
      </w:pPr>
      <w:r w:rsidRPr="00C85192">
        <w:t>párbeszédalapú módszerek,</w:t>
      </w:r>
    </w:p>
    <w:p w:rsidR="00170A1A" w:rsidRPr="00C85192" w:rsidRDefault="00170A1A" w:rsidP="00340AD4">
      <w:pPr>
        <w:pStyle w:val="Hlistbullet2"/>
      </w:pPr>
      <w:r w:rsidRPr="00C85192">
        <w:t>analitikai módszerek,</w:t>
      </w:r>
    </w:p>
    <w:p w:rsidR="00170A1A" w:rsidRPr="00C85192" w:rsidRDefault="00170A1A" w:rsidP="00340AD4">
      <w:pPr>
        <w:pStyle w:val="Hlistbullet2"/>
      </w:pPr>
      <w:r w:rsidRPr="00C85192">
        <w:t>diagnosztikai módszerek.</w:t>
      </w:r>
    </w:p>
    <w:p w:rsidR="00170A1A" w:rsidRPr="00C85192" w:rsidRDefault="00170A1A" w:rsidP="00340AD4">
      <w:pPr>
        <w:pStyle w:val="HStandard"/>
      </w:pPr>
      <w:r w:rsidRPr="00C85192">
        <w:t xml:space="preserve">A </w:t>
      </w:r>
      <w:r w:rsidRPr="00C85192">
        <w:rPr>
          <w:b/>
        </w:rPr>
        <w:t>felmérések</w:t>
      </w:r>
      <w:r w:rsidRPr="00C85192">
        <w:t xml:space="preserve"> alapjául a következők szolgálhatnak: </w:t>
      </w:r>
    </w:p>
    <w:p w:rsidR="00170A1A" w:rsidRPr="00C85192" w:rsidRDefault="00170A1A" w:rsidP="00340AD4">
      <w:pPr>
        <w:pStyle w:val="Hlistbullet2"/>
      </w:pPr>
      <w:r w:rsidRPr="00C85192">
        <w:rPr>
          <w:b/>
        </w:rPr>
        <w:t>Standardizált kérdőíves interjúk</w:t>
      </w:r>
      <w:r w:rsidRPr="00C85192">
        <w:t>, amelyek során a hálózat résztvevőit és érdekeltjeit vonják be, majd statisztikai elemzést hajtanak végre; a kérdőíveket általában online küldik ki, majd kitöltés után így küldik vissza, a rendelkezésre álló – gyakran ingyenesen használható – online eszközök valamelyikével</w:t>
      </w:r>
      <w:r w:rsidRPr="00C85192">
        <w:rPr>
          <w:rFonts w:ascii="ZWAdobeF" w:hAnsi="ZWAdobeF"/>
          <w:color w:val="auto"/>
          <w:sz w:val="2"/>
          <w:szCs w:val="2"/>
        </w:rPr>
        <w:t>99F</w:t>
      </w:r>
      <w:r w:rsidRPr="00C85192">
        <w:rPr>
          <w:rStyle w:val="FootnoteReference"/>
        </w:rPr>
        <w:footnoteReference w:id="100"/>
      </w:r>
      <w:r w:rsidRPr="00C85192">
        <w:t>.</w:t>
      </w:r>
    </w:p>
    <w:p w:rsidR="00170A1A" w:rsidRPr="00C85192" w:rsidRDefault="00170A1A" w:rsidP="00320BBA">
      <w:pPr>
        <w:pStyle w:val="Hlistbullet"/>
        <w:numPr>
          <w:ilvl w:val="1"/>
          <w:numId w:val="2"/>
        </w:numPr>
        <w:tabs>
          <w:tab w:val="left" w:pos="567"/>
        </w:tabs>
        <w:ind w:left="1037" w:hanging="357"/>
      </w:pPr>
      <w:r w:rsidRPr="00C85192">
        <w:t>Példa: Online felmérés a HACS vezetőinek és igazgatóinak részvételével arra vonatkozóan, hogy milyen módon és milyen intenzitással vesznek részt az NVH-tevékenységekben, mennyire elégedettek, és melyek a lehetséges nyomon követési tevékenységek.</w:t>
      </w:r>
    </w:p>
    <w:p w:rsidR="00170A1A" w:rsidRPr="00C85192" w:rsidRDefault="00170A1A" w:rsidP="00340AD4">
      <w:pPr>
        <w:pStyle w:val="Hlistbullet2"/>
      </w:pPr>
      <w:r w:rsidRPr="00C85192">
        <w:rPr>
          <w:b/>
        </w:rPr>
        <w:t>Félig strukturált mélyinterjúk</w:t>
      </w:r>
      <w:r w:rsidRPr="00C85192">
        <w:t>, amelyek közvetlenül a szakértők, érintettek vagy kedvezményezettek álláspontját vizsgálják az értékelési kérdésekkel kapcsolatosan; általában személyes interjúk, de lehetnek telefonos vagy Skype-on keresztüli interjúk is.</w:t>
      </w:r>
    </w:p>
    <w:p w:rsidR="00170A1A" w:rsidRPr="00C85192" w:rsidRDefault="00170A1A" w:rsidP="00320BBA">
      <w:pPr>
        <w:pStyle w:val="Hlistbullet"/>
        <w:numPr>
          <w:ilvl w:val="1"/>
          <w:numId w:val="2"/>
        </w:numPr>
        <w:tabs>
          <w:tab w:val="left" w:pos="567"/>
        </w:tabs>
        <w:spacing w:before="0" w:line="280" w:lineRule="atLeast"/>
        <w:ind w:left="1037" w:hanging="357"/>
      </w:pPr>
      <w:r w:rsidRPr="00C85192">
        <w:lastRenderedPageBreak/>
        <w:t>Példa: Az irányító hatóság és a végrehajtó szervek kiválasztott képviselőivel lebonyolított egyéni interjúk a várt eredmények tükrében az NVH megvalósításával kapcsolatos</w:t>
      </w:r>
      <w:r>
        <w:t>an</w:t>
      </w:r>
      <w:r w:rsidRPr="00C85192">
        <w:t xml:space="preserve"> kialakított véleményükről.</w:t>
      </w:r>
    </w:p>
    <w:p w:rsidR="00170A1A" w:rsidRPr="00C85192" w:rsidRDefault="00170A1A" w:rsidP="00340AD4">
      <w:pPr>
        <w:pStyle w:val="Hlistbullet2"/>
      </w:pPr>
      <w:r w:rsidRPr="00C85192">
        <w:t>Szereprepertoár-interjúk</w:t>
      </w:r>
      <w:r w:rsidRPr="00C85192">
        <w:rPr>
          <w:rFonts w:ascii="ZWAdobeF" w:hAnsi="ZWAdobeF"/>
          <w:color w:val="auto"/>
          <w:sz w:val="2"/>
          <w:szCs w:val="2"/>
        </w:rPr>
        <w:t>100F</w:t>
      </w:r>
      <w:r w:rsidRPr="00C85192">
        <w:rPr>
          <w:rStyle w:val="FootnoteReference"/>
        </w:rPr>
        <w:footnoteReference w:id="101"/>
      </w:r>
      <w:r w:rsidRPr="00C85192">
        <w:t xml:space="preserve">, amelyek lehetővé teszik a viszonylag kis számú interjúalanytól kapott minőségi információk mennyiségi feldolgozását; a szereprepertoár olyan személyes vonatkozások (világnézet, értékrend és hozzáállás) vizsgálatára alkalmas, amelyek szociálpszichológiai szempontból irányítják cselekedeteinket, azaz viselkedési mintáinkat. </w:t>
      </w:r>
      <w:r w:rsidRPr="00C85192">
        <w:sym w:font="Wingdings" w:char="F0E0"/>
      </w:r>
      <w:r w:rsidRPr="00C85192">
        <w:t xml:space="preserve"> Lásd még az Iránymutatás </w:t>
      </w:r>
      <w:r w:rsidRPr="00C85192">
        <w:rPr>
          <w:b/>
          <w:color w:val="E7E6E6" w:themeColor="background2"/>
        </w:rPr>
        <w:t>III. részét</w:t>
      </w:r>
      <w:r w:rsidRPr="00C85192">
        <w:t>.</w:t>
      </w:r>
    </w:p>
    <w:p w:rsidR="00170A1A" w:rsidRPr="00C85192" w:rsidRDefault="00170A1A" w:rsidP="00340AD4">
      <w:pPr>
        <w:pStyle w:val="Hlistbullet"/>
        <w:numPr>
          <w:ilvl w:val="1"/>
          <w:numId w:val="2"/>
        </w:numPr>
        <w:tabs>
          <w:tab w:val="left" w:pos="567"/>
        </w:tabs>
        <w:spacing w:before="0" w:after="120" w:line="280" w:lineRule="atLeast"/>
        <w:ind w:left="1037" w:hanging="357"/>
      </w:pPr>
      <w:r w:rsidRPr="00C85192">
        <w:t xml:space="preserve">Példa: Szereprepertoár-interjúk a hálózat kiválasztott tagjaival (például </w:t>
      </w:r>
      <w:r>
        <w:t>egy előzetes</w:t>
      </w:r>
      <w:r w:rsidRPr="00C85192">
        <w:t xml:space="preserve"> közösségi hálózati elemzésben meghatározott „belső körrel”) a hálózat minőségével és fejlődésével kapcsolatos véleményük vonatkozásában (érdemes legalább kétszer végrehajtani, például 2017-ben és 2019-ben).</w:t>
      </w:r>
    </w:p>
    <w:p w:rsidR="00170A1A" w:rsidRPr="00C85192" w:rsidRDefault="00170A1A" w:rsidP="00340AD4">
      <w:pPr>
        <w:pStyle w:val="HStandard"/>
      </w:pPr>
      <w:r w:rsidRPr="00C85192">
        <w:t>A standardizált kérdőíves interjúk és a félig strukturált interjúk tényszerű információk, valamint vélemények és értéknyilatkozatok összegyűjtését teszik lehetővé. Ezek a szubjektív nyilatkozatok számszerűsíthetők statisztikai feldolgozáshoz pontozás (például a megvalósulás százalékos aránya), rangsorolás (preferencia szerinti sorrend) vagy Likert-skála (két szélső érték, például „nagyon rossz” és „nagyon jó” közötti pozíciók használata) útján. A pontozás és a skálázás szubjektív megítélésen alapuló kontextualizált összehasonlítást tesz lehetővé (főként a hatásmutatóknál)</w:t>
      </w:r>
      <w:r w:rsidRPr="00C85192">
        <w:rPr>
          <w:rFonts w:ascii="ZWAdobeF" w:hAnsi="ZWAdobeF"/>
          <w:color w:val="auto"/>
          <w:sz w:val="2"/>
          <w:szCs w:val="2"/>
        </w:rPr>
        <w:t>101F</w:t>
      </w:r>
      <w:r w:rsidRPr="00C85192">
        <w:rPr>
          <w:rStyle w:val="FootnoteReference"/>
        </w:rPr>
        <w:footnoteReference w:id="102"/>
      </w:r>
      <w:r w:rsidRPr="00C85192">
        <w:t>.</w:t>
      </w:r>
    </w:p>
    <w:p w:rsidR="00170A1A" w:rsidRPr="00C85192" w:rsidRDefault="00170A1A" w:rsidP="00320BBA">
      <w:pPr>
        <w:pStyle w:val="HStandard"/>
        <w:spacing w:after="0"/>
      </w:pPr>
      <w:r w:rsidRPr="00C85192">
        <w:rPr>
          <w:b/>
          <w:u w:val="single"/>
        </w:rPr>
        <w:t>Párbeszédalapú vagy részvételen alapuló módszerek</w:t>
      </w:r>
      <w:r w:rsidRPr="00C85192">
        <w:t>, amelyek a felmérésekben gyűjtött egyéni véleményeket és a tényszerű megállapításokat kiegészítő „kollektív intelligenciára”</w:t>
      </w:r>
      <w:r w:rsidRPr="00C85192">
        <w:rPr>
          <w:rFonts w:ascii="ZWAdobeF" w:hAnsi="ZWAdobeF"/>
          <w:color w:val="auto"/>
          <w:sz w:val="2"/>
          <w:szCs w:val="2"/>
        </w:rPr>
        <w:t>102F</w:t>
      </w:r>
      <w:r w:rsidRPr="00C85192">
        <w:rPr>
          <w:rStyle w:val="FootnoteReference"/>
        </w:rPr>
        <w:footnoteReference w:id="103"/>
      </w:r>
      <w:r w:rsidRPr="00C85192">
        <w:t xml:space="preserve"> vagy „csoportintuícióra”</w:t>
      </w:r>
      <w:r w:rsidRPr="00C85192">
        <w:rPr>
          <w:rFonts w:ascii="ZWAdobeF" w:hAnsi="ZWAdobeF"/>
          <w:color w:val="auto"/>
          <w:sz w:val="2"/>
          <w:szCs w:val="2"/>
        </w:rPr>
        <w:t>103F</w:t>
      </w:r>
      <w:r w:rsidRPr="00C85192">
        <w:rPr>
          <w:rStyle w:val="FootnoteReference"/>
        </w:rPr>
        <w:footnoteReference w:id="104"/>
      </w:r>
      <w:r w:rsidRPr="00C85192">
        <w:t xml:space="preserve"> számítanak. </w:t>
      </w:r>
    </w:p>
    <w:p w:rsidR="00170A1A" w:rsidRPr="00C85192" w:rsidRDefault="00170A1A" w:rsidP="00340AD4">
      <w:pPr>
        <w:pStyle w:val="Hlistbullet2"/>
      </w:pPr>
      <w:r w:rsidRPr="00C85192">
        <w:t xml:space="preserve">A párbeszédalapú és részvételen alapuló módszerek hidat képeznek az </w:t>
      </w:r>
      <w:r w:rsidRPr="00C85192">
        <w:rPr>
          <w:b/>
        </w:rPr>
        <w:t>önértékelési gyakorlatok</w:t>
      </w:r>
      <w:r w:rsidRPr="00C85192">
        <w:t xml:space="preserve"> felé, amelyek magukban foglalhatnak folyamatosan frissített monitoringadatokkal alátámasztott koordinációs vagy monitoringmegbeszéléseket, tematikus vagy módszertani munkacsoportokat. Az önértékelési tevékenység összesített eredményei és a visszajelzési űrlapok bemeneti adatként használhatók fel a külső értékelő által elősegített, megfelelő párbeszédek kialakításához.</w:t>
      </w:r>
    </w:p>
    <w:p w:rsidR="00170A1A" w:rsidRPr="00C85192" w:rsidRDefault="00170A1A" w:rsidP="00320BBA">
      <w:pPr>
        <w:pStyle w:val="Hlistbullet"/>
        <w:numPr>
          <w:ilvl w:val="1"/>
          <w:numId w:val="2"/>
        </w:numPr>
        <w:tabs>
          <w:tab w:val="left" w:pos="567"/>
        </w:tabs>
        <w:spacing w:before="0" w:line="280" w:lineRule="atLeast"/>
        <w:ind w:left="1037" w:hanging="357"/>
      </w:pPr>
      <w:r w:rsidRPr="00C85192">
        <w:t xml:space="preserve">Példa: A stratégia éves áttekintése külső támogatással, amely az előző év eredményeit és hiányosságait tárja fel monitoringadatok, kísérő tanulmányok, akár mérlegelések bemeneti adataiként is használható belső felmérések alkalmazásával; a szakértő rendhagyó párbeszédformákat, helyszíneket és külső közreműködőket is javasolhat, hogy segítse a kreatív gondolkodást; a 2017-es, </w:t>
      </w:r>
      <w:r>
        <w:t xml:space="preserve">a </w:t>
      </w:r>
      <w:r w:rsidRPr="00C85192">
        <w:t xml:space="preserve">2019-es és </w:t>
      </w:r>
      <w:r>
        <w:t xml:space="preserve">a </w:t>
      </w:r>
      <w:r w:rsidRPr="00C85192">
        <w:t xml:space="preserve">zárás utáni áttekintések közvetlenül hozzájárulhatnak a megfelelő értékelésekhez. </w:t>
      </w:r>
    </w:p>
    <w:p w:rsidR="00170A1A" w:rsidRPr="00C85192" w:rsidRDefault="00170A1A" w:rsidP="00340AD4">
      <w:pPr>
        <w:pStyle w:val="Hlistbullet2"/>
      </w:pPr>
      <w:r w:rsidRPr="00C85192">
        <w:rPr>
          <w:b/>
        </w:rPr>
        <w:t>Fókuszcsoportokat</w:t>
      </w:r>
      <w:r w:rsidRPr="00C85192">
        <w:t xml:space="preserve"> széles körben használnak párbeszédalapú értékelési módszerekhez. A meghatározott időszakot felölelő fókuszcsoport-sorozatok kivételével a módszerek kétszintű szerkezetbe rendezhetők (amelyben a fókuszcsoportok a döntéshozatal két szintjére sorolhatók be, például a HACS- és az NVH-képviselők szintjére); összpontosíthatnak tematikus területekre vagy átfogó kérdések tanulmányozására, de minden esetben javul a minőségük, ha összetételük kellően sokrétű, és nincs túl sok résztvevőjük (csoporttalálkozónként 5-12 személy, vagy nagyobb csoportesemények ennek a csoportméretnek megfelelő bontással). Végül, de nem utolsósorban a módszereket külső moderátornak (például az értékelőknek vagy azok megfelelő jártasságának hiányában a nevükben eljáró személynek) kell támogatnia. Ha létezik értékelésirányító bizottság, annak ülései elviekben megszervezhető</w:t>
      </w:r>
      <w:r>
        <w:t>k</w:t>
      </w:r>
      <w:r w:rsidRPr="00C85192">
        <w:t xml:space="preserve"> a fókuszcsoport „második szintű” találkozóiként.</w:t>
      </w:r>
    </w:p>
    <w:p w:rsidR="00170A1A" w:rsidRPr="00C85192" w:rsidRDefault="00170A1A" w:rsidP="00340AD4">
      <w:pPr>
        <w:pStyle w:val="Hlistbullet"/>
        <w:numPr>
          <w:ilvl w:val="1"/>
          <w:numId w:val="2"/>
        </w:numPr>
        <w:tabs>
          <w:tab w:val="left" w:pos="567"/>
        </w:tabs>
        <w:spacing w:before="0" w:after="120" w:line="280" w:lineRule="atLeast"/>
        <w:ind w:left="1037" w:hanging="357"/>
      </w:pPr>
      <w:r w:rsidRPr="00C85192">
        <w:lastRenderedPageBreak/>
        <w:t xml:space="preserve">Példa: Rendkívül különböző nézőpontú személyekből álló csoportok létrehozása az NVH-tevékenységek adott szegmenseinek (például kommunikáció, valamint kiadványok/munkaértekezletek és eseményszerkezetek/innováció elősegítése) igazolására; ezek a csoportok átfedhetik egymást, azaz ebben az esetben két csoport egymástól függetlenül igazolná ugyanazt a témát (a helyzet többdimenziós képének megalkotása érdekében). </w:t>
      </w:r>
    </w:p>
    <w:p w:rsidR="00170A1A" w:rsidRPr="00C85192" w:rsidRDefault="00170A1A" w:rsidP="00320BBA">
      <w:pPr>
        <w:pStyle w:val="HStandard"/>
        <w:spacing w:after="0"/>
      </w:pPr>
      <w:r w:rsidRPr="00C85192">
        <w:t xml:space="preserve">Az </w:t>
      </w:r>
      <w:r w:rsidRPr="00C85192">
        <w:rPr>
          <w:b/>
          <w:u w:val="single"/>
        </w:rPr>
        <w:t>analitikai módszereket</w:t>
      </w:r>
      <w:r w:rsidRPr="00C85192">
        <w:t xml:space="preserve"> általában a beavatkozások eredményességének és hatékonyságának rögzítésére használják. </w:t>
      </w:r>
    </w:p>
    <w:p w:rsidR="00170A1A" w:rsidRPr="00C85192" w:rsidRDefault="00170A1A" w:rsidP="00340AD4">
      <w:pPr>
        <w:pStyle w:val="Hlistbullet2"/>
      </w:pPr>
      <w:r w:rsidRPr="00C85192">
        <w:t xml:space="preserve">Az NVH-k kimeneteinek megállapítására alkalmas lehet a </w:t>
      </w:r>
      <w:r w:rsidRPr="00C85192">
        <w:rPr>
          <w:b/>
        </w:rPr>
        <w:t>költség-haszon elemzés</w:t>
      </w:r>
      <w:r w:rsidRPr="00C85192">
        <w:t xml:space="preserve"> (például szórólapok, folyóiratok stb. készítésének és terjesztésének, tanfolyamok és az érdekelteknek szánt munkaértekezletek szervezésének vonatkozásában).</w:t>
      </w:r>
    </w:p>
    <w:p w:rsidR="00170A1A" w:rsidRPr="00C85192" w:rsidRDefault="00170A1A" w:rsidP="00320BBA">
      <w:pPr>
        <w:pStyle w:val="Hlistbullet"/>
        <w:numPr>
          <w:ilvl w:val="1"/>
          <w:numId w:val="2"/>
        </w:numPr>
        <w:tabs>
          <w:tab w:val="left" w:pos="567"/>
        </w:tabs>
        <w:spacing w:before="0" w:line="280" w:lineRule="atLeast"/>
        <w:ind w:left="1037" w:hanging="357"/>
      </w:pPr>
      <w:r w:rsidRPr="00C85192">
        <w:t>Példa: A tanfolyamok teljes költségére vonatkozó költség-haszon elemzés a résztvevők számának és az elégedettség fokának (skálaértékének) tükrében.</w:t>
      </w:r>
    </w:p>
    <w:p w:rsidR="00170A1A" w:rsidRPr="00C85192" w:rsidRDefault="00170A1A" w:rsidP="00E57366">
      <w:pPr>
        <w:pStyle w:val="Hlistbullet2"/>
      </w:pPr>
      <w:r w:rsidRPr="00C85192">
        <w:t>Mivel az NVH-k tevékenységeitől az NVH kimeneteit felhasználók viselkedésének megváltozását várjuk, a pusztán mennyiségi módszerek önmagukban nem elegendők a kimeneti adatok ilyen szintű meghatározására; ehhez valószínűleg költséghatékonysági elemzést kell végezni. Miközben a költségoldal pénzben továbbra is kifejezhető (mint a költség-haszon elemzésben), a hatásoldalt különféle minőségi mutatók rögzítik, amelyek lehetnek programspecifikus mutatók, illetve az adott célhoz kiválasztott egyedi változók.</w:t>
      </w:r>
    </w:p>
    <w:p w:rsidR="00170A1A" w:rsidRPr="00C85192" w:rsidRDefault="00170A1A" w:rsidP="00340AD4">
      <w:pPr>
        <w:pStyle w:val="Hlistbullet2"/>
        <w:numPr>
          <w:ilvl w:val="1"/>
          <w:numId w:val="2"/>
        </w:numPr>
        <w:tabs>
          <w:tab w:val="left" w:pos="567"/>
        </w:tabs>
        <w:spacing w:before="0" w:after="120" w:line="280" w:lineRule="atLeast"/>
        <w:ind w:left="1037" w:hanging="357"/>
      </w:pPr>
      <w:r w:rsidRPr="00C85192">
        <w:t>Példa: A tanfolyamok, a tanfolyami anyagok utólagos tanulmányozásának és alkalmazásának teljes költségére vonatkozó költséghatékonysági elemzés, a kísérő tanácsadás vagy szakmai támogatás iránti további igény vonatkozásában is mérve.</w:t>
      </w:r>
    </w:p>
    <w:p w:rsidR="00170A1A" w:rsidRPr="00C85192" w:rsidRDefault="00170A1A" w:rsidP="00320BBA">
      <w:pPr>
        <w:pStyle w:val="HStandard"/>
        <w:spacing w:after="0"/>
      </w:pPr>
      <w:r w:rsidRPr="00C85192">
        <w:t xml:space="preserve">A </w:t>
      </w:r>
      <w:r w:rsidRPr="00C85192">
        <w:rPr>
          <w:b/>
          <w:u w:val="single"/>
        </w:rPr>
        <w:t>diagnosztikai módszerek</w:t>
      </w:r>
      <w:r w:rsidRPr="00C85192">
        <w:t xml:space="preserve"> különféle módszereket foglalnak magukba a heurisztikus módszerektől egészen a számítástechnikai szoftverekkel támogatott módszerekig:</w:t>
      </w:r>
    </w:p>
    <w:p w:rsidR="00170A1A" w:rsidRPr="00C85192" w:rsidRDefault="00170A1A" w:rsidP="00340AD4">
      <w:pPr>
        <w:pStyle w:val="Hlistbullet2"/>
      </w:pPr>
      <w:r w:rsidRPr="00C85192">
        <w:rPr>
          <w:b/>
        </w:rPr>
        <w:t>Hálózatok funkcionális elemzése</w:t>
      </w:r>
      <w:r w:rsidRPr="00C85192">
        <w:rPr>
          <w:rFonts w:ascii="ZWAdobeF" w:hAnsi="ZWAdobeF"/>
          <w:color w:val="auto"/>
          <w:sz w:val="2"/>
          <w:szCs w:val="2"/>
        </w:rPr>
        <w:t>104F</w:t>
      </w:r>
      <w:r w:rsidRPr="00C85192">
        <w:rPr>
          <w:rStyle w:val="FootnoteReference"/>
        </w:rPr>
        <w:footnoteReference w:id="105"/>
      </w:r>
      <w:r w:rsidRPr="00C85192">
        <w:t xml:space="preserve">: A módszer a hálózatokat a hálózattámogató egységen (HTE) keresztül vizsgálja a hat jellemző funkció (nevezetesen a szűrés, a bővítés, a befektetés és rendelkezésre bocsátás, az összegyűjtés, a közösségépítés és az ösztönzés) és két „felsőbb” funkció vagy szerep (az ügynökségi és a támogatási szerep) szerint, amelyek kombinációja határozza meg, hogy a HTE hogyan avatkozik be a hálózatba. A gyakorlatban a legtöbb szakpolitikai hálózat magán hordozza mindkét szerep bizonyos jellemzőit (lásd még: </w:t>
      </w:r>
      <w:r w:rsidRPr="00C85192">
        <w:rPr>
          <w:b/>
          <w:color w:val="E7E6E6" w:themeColor="background2"/>
        </w:rPr>
        <w:t>III. rész</w:t>
      </w:r>
      <w:r w:rsidRPr="00C85192">
        <w:t>).</w:t>
      </w:r>
    </w:p>
    <w:p w:rsidR="00170A1A" w:rsidRPr="00C85192" w:rsidRDefault="00170A1A" w:rsidP="00320BBA">
      <w:pPr>
        <w:pStyle w:val="Hlistbullet"/>
        <w:numPr>
          <w:ilvl w:val="1"/>
          <w:numId w:val="2"/>
        </w:numPr>
        <w:tabs>
          <w:tab w:val="left" w:pos="567"/>
        </w:tabs>
        <w:spacing w:before="0" w:line="280" w:lineRule="atLeast"/>
        <w:ind w:left="1037" w:hanging="357"/>
      </w:pPr>
      <w:r w:rsidRPr="00C85192">
        <w:t>Példa: Ez az elemzés végrehajtható egy széleskörű online felmérés és a kiválasztott érintettek bevonásával készült mélyinterjú-sorozat kombinációja vagy fókuszcsoport alapján, amely utóbbihoz az online felmérésből nyert előzetes eredmények használhatók bemeneti adatként.</w:t>
      </w:r>
    </w:p>
    <w:p w:rsidR="00170A1A" w:rsidRPr="00C85192" w:rsidRDefault="00170A1A" w:rsidP="00E57366">
      <w:pPr>
        <w:pStyle w:val="Hlistbullet2"/>
      </w:pPr>
      <w:r w:rsidRPr="00C85192">
        <w:rPr>
          <w:b/>
        </w:rPr>
        <w:t>Az érdekelt felek elemzése</w:t>
      </w:r>
      <w:r w:rsidRPr="00C85192">
        <w:rPr>
          <w:rStyle w:val="FootnoteReference"/>
        </w:rPr>
        <w:footnoteReference w:id="106"/>
      </w:r>
      <w:r w:rsidRPr="00C85192">
        <w:t xml:space="preserve">: Az érdekelt felek elemzése során azokat a személyeket vagy csoportokat azonosítják, akik nagy valószínűséggel hatással lehetnek a tervezett intézkedésekre vagy akikre azok hatással lehetnek, majd katalogizálják őket az intézkedésre kifejtett hatásuk vagy az intézkedés által rájuk kifejtett hatások szerint. (Lásd még: </w:t>
      </w:r>
      <w:r w:rsidRPr="00C85192">
        <w:rPr>
          <w:b/>
          <w:color w:val="E7E6E6" w:themeColor="background2"/>
        </w:rPr>
        <w:t>III. rész</w:t>
      </w:r>
      <w:r w:rsidRPr="00C85192">
        <w:t>).</w:t>
      </w:r>
    </w:p>
    <w:p w:rsidR="00170A1A" w:rsidRPr="00C85192" w:rsidRDefault="00170A1A" w:rsidP="00E57366">
      <w:pPr>
        <w:pStyle w:val="Hlistbullet"/>
        <w:numPr>
          <w:ilvl w:val="1"/>
          <w:numId w:val="2"/>
        </w:numPr>
        <w:tabs>
          <w:tab w:val="left" w:pos="567"/>
        </w:tabs>
        <w:spacing w:before="0" w:after="120" w:line="280" w:lineRule="atLeast"/>
        <w:ind w:left="1037" w:hanging="357"/>
      </w:pPr>
      <w:r w:rsidRPr="00C85192">
        <w:t>Példa: Ez végrehajtható egy önértékelési gyakorlat formájában, például tanácsok nyújtásával a 2017-es értékeléshez, és később megismételhető, például a 2019-es értékelés során vagy közvetlenül a lezárás után.</w:t>
      </w:r>
    </w:p>
    <w:p w:rsidR="00170A1A" w:rsidRPr="00C85192" w:rsidRDefault="00170A1A" w:rsidP="00E57366">
      <w:pPr>
        <w:pStyle w:val="Hlistbullet2"/>
      </w:pPr>
      <w:r w:rsidRPr="00C85192">
        <w:rPr>
          <w:b/>
        </w:rPr>
        <w:lastRenderedPageBreak/>
        <w:t>Kapcsolathálózat-elemzés (SNA)</w:t>
      </w:r>
      <w:r w:rsidRPr="00C85192">
        <w:rPr>
          <w:rFonts w:ascii="ZWAdobeF" w:hAnsi="ZWAdobeF"/>
          <w:color w:val="auto"/>
          <w:sz w:val="2"/>
          <w:szCs w:val="2"/>
        </w:rPr>
        <w:t>106F</w:t>
      </w:r>
      <w:r w:rsidRPr="00C85192">
        <w:rPr>
          <w:rStyle w:val="FootnoteReference"/>
        </w:rPr>
        <w:footnoteReference w:id="107"/>
      </w:r>
      <w:r w:rsidRPr="00C85192">
        <w:t xml:space="preserve">: A kapcsolathálózat elemzésének módszere azon az elven alapul, hogy a hálózatba bevont szereplők (azaz a csomópontok) és azok tevékenységei egymással összefüggenek. A szereplők közötti kapcsolatok csatornát képeznek az erőforrások (információ, befolyás, pénzeszközök stb.) továbbításához vagy áramlásához, a hálózat maga pedig lehetőséget nyújt a szereplőknek vagy kötöttségeket ró a viselkedésükre. A kapcsolathálózat elemzése a szereplők közötti kapcsolatok és erőforrás-áramlás feltérképezését és mérését jelenti. Kapcsolathálózat-elemző szoftverek segítségével vizuálisan (hálózati grafikon formájában) ábrázolhatók a szereplők közötti kapcsolatok, és azok matematikailag is elemezhetők (lásd még: </w:t>
      </w:r>
      <w:r w:rsidRPr="00C85192">
        <w:rPr>
          <w:b/>
          <w:color w:val="E7E6E6" w:themeColor="background2"/>
        </w:rPr>
        <w:t>III. rész</w:t>
      </w:r>
      <w:r w:rsidRPr="00C85192">
        <w:t>).</w:t>
      </w:r>
    </w:p>
    <w:p w:rsidR="00170A1A" w:rsidRPr="00C85192" w:rsidRDefault="00170A1A" w:rsidP="00E57366">
      <w:pPr>
        <w:pStyle w:val="Hlistbullet"/>
        <w:numPr>
          <w:ilvl w:val="1"/>
          <w:numId w:val="2"/>
        </w:numPr>
        <w:tabs>
          <w:tab w:val="left" w:pos="567"/>
        </w:tabs>
        <w:spacing w:before="0" w:after="120" w:line="280" w:lineRule="atLeast"/>
        <w:ind w:left="1037" w:hanging="357"/>
      </w:pPr>
      <w:r w:rsidRPr="00C85192">
        <w:t>Példa: Kapcsolathálózat-elemzések végrehajtása konkrét tematikus szempontok vonatkozásában (például az EU közös agrárpolitikájának három célkitűzése vagy a hat prioritás szerint), vizsgálva a tematikus hálózati területeket (például a kulcsszereplők azonosításához), valamint a közöttük lévő átfedések vonatkozásában (például a fő csatlakozások azonosításához), és ezek megvitatás</w:t>
      </w:r>
      <w:r>
        <w:t>a</w:t>
      </w:r>
      <w:r w:rsidRPr="00C85192">
        <w:t xml:space="preserve"> fókuszcsoport keretében.</w:t>
      </w:r>
    </w:p>
    <w:p w:rsidR="00170A1A" w:rsidRPr="00C85192" w:rsidRDefault="00170A1A" w:rsidP="00E57366">
      <w:pPr>
        <w:pStyle w:val="HStandard"/>
      </w:pPr>
      <w:r w:rsidRPr="00C85192">
        <w:t>Az együttműködés kezeléséről szóló GIZ-kézikönyv további diagnosztikai eszközöket mutat be a szervezetek és a hálózatok innovációs és tanulási képességének felméréséhez</w:t>
      </w:r>
      <w:r w:rsidRPr="00C85192">
        <w:rPr>
          <w:rFonts w:ascii="ZWAdobeF" w:hAnsi="ZWAdobeF"/>
          <w:color w:val="auto"/>
          <w:sz w:val="2"/>
          <w:szCs w:val="2"/>
        </w:rPr>
        <w:t>107F</w:t>
      </w:r>
      <w:r w:rsidRPr="00C85192">
        <w:rPr>
          <w:rStyle w:val="FootnoteReference"/>
        </w:rPr>
        <w:footnoteReference w:id="108"/>
      </w:r>
      <w:r w:rsidRPr="00C85192">
        <w:t xml:space="preserve">. Az innovációs és tanulási képesség feltárása összpontosíthat a CMES által előre meghatározott szempontokra. Megfogalmazható azonban az észlelt változások mögött rejlő rendszerszerű minták megértésének átfogóbb és interaktív folyamataként is (lásd még: </w:t>
      </w:r>
      <w:r w:rsidRPr="00C85192">
        <w:rPr>
          <w:b/>
          <w:color w:val="E7E6E6" w:themeColor="background2"/>
        </w:rPr>
        <w:t>III. rész</w:t>
      </w:r>
      <w:r w:rsidRPr="00C85192">
        <w:t>).</w:t>
      </w:r>
    </w:p>
    <w:p w:rsidR="00170A1A" w:rsidRPr="00C85192" w:rsidRDefault="00170A1A" w:rsidP="00E57366">
      <w:pPr>
        <w:pStyle w:val="Heading6"/>
      </w:pPr>
      <w:r w:rsidRPr="00C85192">
        <w:t>Esettanulmányok használata</w:t>
      </w:r>
    </w:p>
    <w:p w:rsidR="00170A1A" w:rsidRPr="00C85192" w:rsidRDefault="00170A1A" w:rsidP="00E57366">
      <w:pPr>
        <w:pStyle w:val="HStandard"/>
      </w:pPr>
      <w:r w:rsidRPr="00C85192">
        <w:t xml:space="preserve">Az </w:t>
      </w:r>
      <w:r w:rsidRPr="00C85192">
        <w:rPr>
          <w:b/>
        </w:rPr>
        <w:t>esettanulmányok</w:t>
      </w:r>
      <w:r w:rsidRPr="00C85192">
        <w:t xml:space="preserve"> általában több módszert egyesítenek. Számos lehetőséget kínálnak a mennyiségi és minőségi módszerek ötvözésére, az összehasonlító költséghatékonysági elemzésektől a heurisztikus módszerekig. Esettanulmányt sok különböző módon lehet megtervezni. Az adott kérdésre fókuszáló esettanulmányok olyan tematikus vizsgálatok, amelyek során alaposan át kell tanulmányozni az értékelés konkrét tárgyát. Az esettanulmány minden szakasza magában foglalja az értékelők általi számos különböző értelmezést és elbírálást.</w:t>
      </w:r>
    </w:p>
    <w:p w:rsidR="00170A1A" w:rsidRPr="00C85192" w:rsidRDefault="00170A1A" w:rsidP="00E57366">
      <w:pPr>
        <w:pStyle w:val="Hlistbullet2"/>
      </w:pPr>
      <w:r w:rsidRPr="00C85192">
        <w:t>Mitől lesz egy kérdés releváns egy adott esettanulmány szempontjából?</w:t>
      </w:r>
    </w:p>
    <w:p w:rsidR="00170A1A" w:rsidRPr="00C85192" w:rsidRDefault="00170A1A" w:rsidP="00E57366">
      <w:pPr>
        <w:pStyle w:val="Hlistbullet2"/>
      </w:pPr>
      <w:r w:rsidRPr="00C85192">
        <w:t>Hogyan kell kiválasztani az egyedi eseteket?</w:t>
      </w:r>
    </w:p>
    <w:p w:rsidR="00170A1A" w:rsidRPr="00C85192" w:rsidRDefault="00170A1A" w:rsidP="00E57366">
      <w:pPr>
        <w:pStyle w:val="Hlistbullet2"/>
      </w:pPr>
      <w:r w:rsidRPr="00C85192">
        <w:t>Milyen modellt kell alkalmazni az empirikus eredmények magyarázó keretbe történő helyezéséhez?</w:t>
      </w:r>
    </w:p>
    <w:p w:rsidR="00170A1A" w:rsidRPr="00C85192" w:rsidRDefault="00170A1A" w:rsidP="00E57366">
      <w:pPr>
        <w:pStyle w:val="Hlistbullet2"/>
      </w:pPr>
      <w:r w:rsidRPr="00C85192">
        <w:t>Milyen általános tanulság vonható le a megállapításokból?</w:t>
      </w:r>
    </w:p>
    <w:p w:rsidR="00170A1A" w:rsidRPr="00C85192" w:rsidRDefault="00170A1A" w:rsidP="00E57366">
      <w:pPr>
        <w:pStyle w:val="HStandard"/>
      </w:pPr>
      <w:r w:rsidRPr="00C85192">
        <w:t>Az esettanulmányok jól alkalmazhatók a felmérések kiegészítésére és a nehezebb kérdések kezelésére: így a változás megfigyelésén kívül arra is lehetőséget adnak, hogy alaposabban megértsük annak okát és módját. Az esettanulmányok segíthetnek az ok-okozati</w:t>
      </w:r>
      <w:r>
        <w:t>ságra</w:t>
      </w:r>
      <w:r w:rsidRPr="00C85192">
        <w:t xml:space="preserve"> vagy lánchatások</w:t>
      </w:r>
      <w:r>
        <w:t>ra vonatkozó</w:t>
      </w:r>
      <w:r w:rsidRPr="00C85192">
        <w:t xml:space="preserve"> elmélet felderítésében is. A jó esettanulmány elvégzéséhez szükséges időt figyelembe véve javasolt a VFP/NVHP végrehajtását kísérő esettanulmányokat lebonyolítani (például kutatóintézettel, egyetemmel vagy főiskolával együttműködésben), és azok megállapításait az értékelés bemeneti adataiként használni ahelyett, hogy azokat az értékelés részeként hajtanák végre.</w:t>
      </w:r>
    </w:p>
    <w:p w:rsidR="00170A1A" w:rsidRPr="00C85192" w:rsidRDefault="00170A1A" w:rsidP="00E57366">
      <w:pPr>
        <w:pStyle w:val="HStandard"/>
      </w:pPr>
      <w:r w:rsidRPr="00C85192">
        <w:t xml:space="preserve">Az értékelőnek a megalapozott módszerek használata mellett rendhagyó eljárásokat is ki kell próbálnia a megállapítások pontosítása és részletesebb feltárása érdekében. A feladatmeghatározásban lehetőséget kell hagyni intézkedések kutatásából, kulturális antropológiai ismeretekből, oktatási </w:t>
      </w:r>
      <w:r w:rsidRPr="00C85192">
        <w:lastRenderedPageBreak/>
        <w:t xml:space="preserve">tanulmányokból vagy szervezetfejlesztésből származó módszerek alkalmazására, amely módszerek lehetnek például a következők: </w:t>
      </w:r>
    </w:p>
    <w:p w:rsidR="00170A1A" w:rsidRPr="00C85192" w:rsidRDefault="00170A1A" w:rsidP="00E57366">
      <w:pPr>
        <w:pStyle w:val="Hlistbullet2"/>
      </w:pPr>
      <w:r w:rsidRPr="00C85192">
        <w:t>képelemzés (olyan videók és képek értelmezése, amelyeken vidéki szereplők mondanak véleményt a területükön zajló folyamatokról);</w:t>
      </w:r>
    </w:p>
    <w:p w:rsidR="00170A1A" w:rsidRPr="00C85192" w:rsidRDefault="00170A1A" w:rsidP="00E57366">
      <w:pPr>
        <w:pStyle w:val="Hlistbullet2"/>
      </w:pPr>
      <w:r w:rsidRPr="00C85192">
        <w:t>szövegelemzés (belső kommunikációban és kiadványokban használt beszédminták nyelvészeti és kulturális értelmezése);</w:t>
      </w:r>
    </w:p>
    <w:p w:rsidR="00170A1A" w:rsidRPr="00C85192" w:rsidRDefault="00170A1A" w:rsidP="00E57366">
      <w:pPr>
        <w:pStyle w:val="Hlistbullet2"/>
      </w:pPr>
      <w:r w:rsidRPr="00C85192">
        <w:t xml:space="preserve">kritikai teherviselés-elemzés (fókuszcsoportokban, szövegelemzésben stb. használva); </w:t>
      </w:r>
    </w:p>
    <w:p w:rsidR="00170A1A" w:rsidRPr="00C85192" w:rsidRDefault="00170A1A" w:rsidP="00E57366">
      <w:pPr>
        <w:pStyle w:val="Hlistbullet2"/>
      </w:pPr>
      <w:r w:rsidRPr="00C85192">
        <w:t>rendszerállítások</w:t>
      </w:r>
      <w:r w:rsidRPr="00C85192">
        <w:rPr>
          <w:rFonts w:ascii="ZWAdobeF" w:hAnsi="ZWAdobeF"/>
          <w:color w:val="auto"/>
          <w:sz w:val="2"/>
          <w:szCs w:val="2"/>
        </w:rPr>
        <w:t>108F</w:t>
      </w:r>
      <w:r w:rsidRPr="00C85192">
        <w:rPr>
          <w:rStyle w:val="FootnoteReference"/>
        </w:rPr>
        <w:footnoteReference w:id="109"/>
      </w:r>
      <w:r w:rsidRPr="00C85192">
        <w:t>, szerepjátékok</w:t>
      </w:r>
      <w:r w:rsidRPr="00C85192">
        <w:rPr>
          <w:rFonts w:ascii="ZWAdobeF" w:hAnsi="ZWAdobeF"/>
          <w:color w:val="auto"/>
          <w:sz w:val="2"/>
          <w:szCs w:val="2"/>
        </w:rPr>
        <w:t>109F</w:t>
      </w:r>
      <w:r w:rsidRPr="00C85192">
        <w:rPr>
          <w:rStyle w:val="FootnoteReference"/>
        </w:rPr>
        <w:footnoteReference w:id="110"/>
      </w:r>
      <w:r w:rsidRPr="00C85192">
        <w:t xml:space="preserve"> és egyéb szociometriai módszerek</w:t>
      </w:r>
      <w:r w:rsidRPr="00C85192">
        <w:rPr>
          <w:rFonts w:ascii="ZWAdobeF" w:hAnsi="ZWAdobeF"/>
          <w:color w:val="auto"/>
          <w:sz w:val="2"/>
          <w:szCs w:val="2"/>
        </w:rPr>
        <w:t>110F</w:t>
      </w:r>
      <w:r w:rsidRPr="00C85192">
        <w:rPr>
          <w:rStyle w:val="FootnoteReference"/>
        </w:rPr>
        <w:footnoteReference w:id="111"/>
      </w:r>
      <w:r w:rsidRPr="00C85192">
        <w:t>.</w:t>
      </w:r>
    </w:p>
    <w:p w:rsidR="00170A1A" w:rsidRPr="00C85192" w:rsidRDefault="00170A1A" w:rsidP="00E57366">
      <w:pPr>
        <w:pStyle w:val="HStandard"/>
      </w:pPr>
      <w:r w:rsidRPr="00C85192">
        <w:t>Ezek és további rendhagyó módszerek is beépíthetők az átfogó monitoring- és értékelési szerkezetbe, például önértékelési gyakorlatként.</w:t>
      </w:r>
    </w:p>
    <w:p w:rsidR="00170A1A" w:rsidRPr="00C85192" w:rsidRDefault="00170A1A" w:rsidP="00E57366">
      <w:pPr>
        <w:pStyle w:val="Heading6"/>
      </w:pPr>
      <w:bookmarkStart w:id="170" w:name="_Toc433481231"/>
      <w:bookmarkStart w:id="171" w:name="_Toc433718139"/>
      <w:bookmarkStart w:id="172" w:name="_Toc434744516"/>
      <w:bookmarkStart w:id="173" w:name="_Toc436140058"/>
      <w:r w:rsidRPr="00C85192">
        <w:t>Melyek az NVH-értékelési módszerek kiválasztásának fő lépései</w:t>
      </w:r>
      <w:bookmarkEnd w:id="170"/>
      <w:bookmarkEnd w:id="171"/>
      <w:bookmarkEnd w:id="172"/>
      <w:bookmarkEnd w:id="173"/>
      <w:r w:rsidRPr="00C85192">
        <w:t>?</w:t>
      </w:r>
    </w:p>
    <w:p w:rsidR="00170A1A" w:rsidRPr="00C85192" w:rsidRDefault="00170A1A" w:rsidP="00E57366">
      <w:pPr>
        <w:pStyle w:val="HStandard"/>
      </w:pPr>
      <w:r w:rsidRPr="00C85192">
        <w:t>Following the selection of the evaluation approach and the review of different evaluation methods, the evaluator should select the evaluation methods. A folyamat javasolt lépései és azok várt eredményei a következők:</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170A1A" w:rsidRPr="00C85192" w:rsidTr="00E57366">
        <w:tc>
          <w:tcPr>
            <w:tcW w:w="846" w:type="dxa"/>
            <w:shd w:val="clear" w:color="auto" w:fill="E7E6E6" w:themeFill="background2"/>
          </w:tcPr>
          <w:p w:rsidR="00170A1A" w:rsidRPr="00C85192" w:rsidRDefault="00170A1A" w:rsidP="00E57366">
            <w:pPr>
              <w:pStyle w:val="Hlistbullet"/>
              <w:numPr>
                <w:ilvl w:val="0"/>
                <w:numId w:val="0"/>
              </w:numPr>
              <w:spacing w:before="0" w:line="280" w:lineRule="atLeast"/>
              <w:jc w:val="center"/>
              <w:rPr>
                <w:b/>
                <w:color w:val="5B9BD5" w:themeColor="accent1"/>
                <w:sz w:val="18"/>
                <w:szCs w:val="18"/>
              </w:rPr>
            </w:pPr>
            <w:r w:rsidRPr="00C85192">
              <w:rPr>
                <w:b/>
                <w:color w:val="5B9BD5" w:themeColor="accent1"/>
                <w:sz w:val="18"/>
                <w:szCs w:val="18"/>
              </w:rPr>
              <w:t>1.</w:t>
            </w:r>
          </w:p>
        </w:tc>
        <w:tc>
          <w:tcPr>
            <w:tcW w:w="8170" w:type="dxa"/>
          </w:tcPr>
          <w:p w:rsidR="00170A1A" w:rsidRPr="00C85192" w:rsidRDefault="00170A1A" w:rsidP="00E57366">
            <w:pPr>
              <w:pStyle w:val="Hlistbullet"/>
              <w:numPr>
                <w:ilvl w:val="0"/>
                <w:numId w:val="0"/>
              </w:numPr>
              <w:spacing w:before="0" w:line="280" w:lineRule="atLeast"/>
              <w:rPr>
                <w:sz w:val="18"/>
                <w:szCs w:val="18"/>
              </w:rPr>
            </w:pPr>
            <w:r w:rsidRPr="00C85192">
              <w:rPr>
                <w:sz w:val="18"/>
                <w:szCs w:val="18"/>
              </w:rPr>
              <w:t xml:space="preserve">A módszer alkalmazhatóságának ellenőrzése. </w:t>
            </w:r>
          </w:p>
        </w:tc>
      </w:tr>
      <w:tr w:rsidR="00170A1A" w:rsidRPr="00C85192" w:rsidTr="00E57366">
        <w:tc>
          <w:tcPr>
            <w:tcW w:w="846" w:type="dxa"/>
            <w:shd w:val="clear" w:color="auto" w:fill="E7E6E6" w:themeFill="background2"/>
          </w:tcPr>
          <w:p w:rsidR="00170A1A" w:rsidRPr="00C85192" w:rsidRDefault="00170A1A" w:rsidP="00E57366">
            <w:pPr>
              <w:pStyle w:val="Hlistbullet"/>
              <w:numPr>
                <w:ilvl w:val="0"/>
                <w:numId w:val="0"/>
              </w:numPr>
              <w:spacing w:before="0" w:line="280" w:lineRule="atLeast"/>
              <w:jc w:val="center"/>
              <w:rPr>
                <w:b/>
                <w:color w:val="5B9BD5" w:themeColor="accent1"/>
                <w:sz w:val="18"/>
                <w:szCs w:val="18"/>
              </w:rPr>
            </w:pPr>
            <w:r w:rsidRPr="00C85192">
              <w:rPr>
                <w:b/>
                <w:color w:val="5B9BD5" w:themeColor="accent1"/>
                <w:sz w:val="18"/>
                <w:szCs w:val="18"/>
              </w:rPr>
              <w:t>2.</w:t>
            </w:r>
          </w:p>
        </w:tc>
        <w:tc>
          <w:tcPr>
            <w:tcW w:w="8170" w:type="dxa"/>
          </w:tcPr>
          <w:p w:rsidR="00170A1A" w:rsidRPr="00C85192" w:rsidRDefault="00170A1A" w:rsidP="004C05DD">
            <w:pPr>
              <w:pStyle w:val="Hlistbullet"/>
              <w:numPr>
                <w:ilvl w:val="0"/>
                <w:numId w:val="0"/>
              </w:numPr>
              <w:spacing w:before="0" w:line="280" w:lineRule="atLeast"/>
              <w:rPr>
                <w:sz w:val="18"/>
                <w:szCs w:val="18"/>
              </w:rPr>
            </w:pPr>
            <w:r w:rsidRPr="00C85192">
              <w:rPr>
                <w:sz w:val="18"/>
                <w:szCs w:val="18"/>
              </w:rPr>
              <w:t>A módszer alkalmasságának ellenőrzése az értékelési szabványok (alaposság, hitelesség, megbízhatóság, megalapozottság, érvényesség és átláthatóság) teljesítése szempontjából.</w:t>
            </w:r>
          </w:p>
        </w:tc>
      </w:tr>
      <w:tr w:rsidR="00170A1A" w:rsidRPr="00C85192" w:rsidTr="00E57366">
        <w:tc>
          <w:tcPr>
            <w:tcW w:w="846" w:type="dxa"/>
            <w:shd w:val="clear" w:color="auto" w:fill="E7E6E6" w:themeFill="background2"/>
          </w:tcPr>
          <w:p w:rsidR="00170A1A" w:rsidRPr="00C85192" w:rsidRDefault="00170A1A" w:rsidP="00E57366">
            <w:pPr>
              <w:pStyle w:val="Hlistbullet"/>
              <w:numPr>
                <w:ilvl w:val="0"/>
                <w:numId w:val="0"/>
              </w:numPr>
              <w:spacing w:before="0" w:line="280" w:lineRule="atLeast"/>
              <w:jc w:val="center"/>
              <w:rPr>
                <w:b/>
                <w:color w:val="5B9BD5" w:themeColor="accent1"/>
                <w:sz w:val="18"/>
                <w:szCs w:val="18"/>
              </w:rPr>
            </w:pPr>
            <w:r w:rsidRPr="00C85192">
              <w:rPr>
                <w:b/>
                <w:color w:val="5B9BD5" w:themeColor="accent1"/>
                <w:sz w:val="18"/>
                <w:szCs w:val="18"/>
              </w:rPr>
              <w:t>3.</w:t>
            </w:r>
          </w:p>
        </w:tc>
        <w:tc>
          <w:tcPr>
            <w:tcW w:w="8170" w:type="dxa"/>
          </w:tcPr>
          <w:p w:rsidR="00170A1A" w:rsidRPr="00C85192" w:rsidRDefault="00170A1A" w:rsidP="004C05DD">
            <w:pPr>
              <w:pStyle w:val="Hlistbullet"/>
              <w:numPr>
                <w:ilvl w:val="0"/>
                <w:numId w:val="0"/>
              </w:numPr>
              <w:spacing w:before="0" w:line="280" w:lineRule="atLeast"/>
              <w:ind w:left="644" w:hanging="360"/>
              <w:rPr>
                <w:sz w:val="18"/>
                <w:szCs w:val="18"/>
              </w:rPr>
            </w:pPr>
            <w:r w:rsidRPr="00C85192">
              <w:rPr>
                <w:sz w:val="18"/>
                <w:szCs w:val="18"/>
              </w:rPr>
              <w:t>Az értékelési módszer kiválasztásához használandó egyedi kritériumok, például az alábbiakra való képesség áttekintése:</w:t>
            </w:r>
          </w:p>
          <w:p w:rsidR="00170A1A" w:rsidRPr="00C85192" w:rsidRDefault="00170A1A" w:rsidP="00170A1A">
            <w:pPr>
              <w:pStyle w:val="Hlistbullet"/>
              <w:numPr>
                <w:ilvl w:val="1"/>
                <w:numId w:val="18"/>
              </w:numPr>
              <w:tabs>
                <w:tab w:val="left" w:pos="567"/>
              </w:tabs>
              <w:spacing w:before="0" w:line="280" w:lineRule="atLeast"/>
              <w:rPr>
                <w:sz w:val="18"/>
                <w:szCs w:val="18"/>
              </w:rPr>
            </w:pPr>
            <w:r w:rsidRPr="00C85192">
              <w:rPr>
                <w:sz w:val="18"/>
                <w:szCs w:val="18"/>
              </w:rPr>
              <w:t>megalapozott válasz adása az ajánlatkérő szerv (irányító hatóság, NVH, HTE) által feltett értékelési kérdésekre;</w:t>
            </w:r>
          </w:p>
          <w:p w:rsidR="00170A1A" w:rsidRPr="00C85192" w:rsidRDefault="00170A1A" w:rsidP="00170A1A">
            <w:pPr>
              <w:pStyle w:val="Hlistbullet"/>
              <w:numPr>
                <w:ilvl w:val="1"/>
                <w:numId w:val="18"/>
              </w:numPr>
              <w:tabs>
                <w:tab w:val="left" w:pos="567"/>
              </w:tabs>
              <w:spacing w:before="0" w:line="280" w:lineRule="atLeast"/>
              <w:rPr>
                <w:sz w:val="18"/>
                <w:szCs w:val="18"/>
              </w:rPr>
            </w:pPr>
            <w:r w:rsidRPr="00C85192">
              <w:rPr>
                <w:sz w:val="18"/>
                <w:szCs w:val="18"/>
              </w:rPr>
              <w:t>az NVH vidékfejlesztéshez való hozzájárulásának megállapítása;</w:t>
            </w:r>
          </w:p>
          <w:p w:rsidR="00170A1A" w:rsidRPr="00C85192" w:rsidRDefault="00170A1A" w:rsidP="00170A1A">
            <w:pPr>
              <w:pStyle w:val="Hlistbullet"/>
              <w:numPr>
                <w:ilvl w:val="1"/>
                <w:numId w:val="18"/>
              </w:numPr>
              <w:tabs>
                <w:tab w:val="left" w:pos="567"/>
              </w:tabs>
              <w:spacing w:before="0" w:line="280" w:lineRule="atLeast"/>
              <w:rPr>
                <w:sz w:val="18"/>
                <w:szCs w:val="18"/>
              </w:rPr>
            </w:pPr>
            <w:r w:rsidRPr="00C85192">
              <w:rPr>
                <w:sz w:val="18"/>
                <w:szCs w:val="18"/>
              </w:rPr>
              <w:t>az NVH teljesítménye és a VFP teljesítménye közötti különbségtétel;</w:t>
            </w:r>
          </w:p>
          <w:p w:rsidR="00170A1A" w:rsidRPr="00C85192" w:rsidRDefault="00170A1A" w:rsidP="00170A1A">
            <w:pPr>
              <w:pStyle w:val="Hlistbullet"/>
              <w:numPr>
                <w:ilvl w:val="1"/>
                <w:numId w:val="18"/>
              </w:numPr>
              <w:tabs>
                <w:tab w:val="left" w:pos="567"/>
              </w:tabs>
              <w:spacing w:before="0" w:line="280" w:lineRule="atLeast"/>
              <w:rPr>
                <w:sz w:val="18"/>
                <w:szCs w:val="18"/>
              </w:rPr>
            </w:pPr>
            <w:r w:rsidRPr="00C85192">
              <w:rPr>
                <w:sz w:val="18"/>
                <w:szCs w:val="18"/>
              </w:rPr>
              <w:t>az NVH eredményeinek, hatásainak és végső soron a hozzáadott értékének rögzítése;</w:t>
            </w:r>
          </w:p>
          <w:p w:rsidR="00170A1A" w:rsidRPr="00C85192" w:rsidRDefault="00170A1A" w:rsidP="00170A1A">
            <w:pPr>
              <w:pStyle w:val="Hlistbullet"/>
              <w:numPr>
                <w:ilvl w:val="1"/>
                <w:numId w:val="18"/>
              </w:numPr>
              <w:tabs>
                <w:tab w:val="left" w:pos="567"/>
              </w:tabs>
              <w:spacing w:before="0" w:line="280" w:lineRule="atLeast"/>
              <w:rPr>
                <w:sz w:val="18"/>
                <w:szCs w:val="18"/>
              </w:rPr>
            </w:pPr>
            <w:r w:rsidRPr="00C85192">
              <w:rPr>
                <w:sz w:val="18"/>
                <w:szCs w:val="18"/>
              </w:rPr>
              <w:t>a vidéki hálózatépítés eredményességének és hatékonyságának mérése.</w:t>
            </w:r>
          </w:p>
        </w:tc>
      </w:tr>
      <w:tr w:rsidR="00170A1A" w:rsidRPr="00C85192" w:rsidTr="00E57366">
        <w:tc>
          <w:tcPr>
            <w:tcW w:w="846" w:type="dxa"/>
            <w:shd w:val="clear" w:color="auto" w:fill="E7E6E6" w:themeFill="background2"/>
          </w:tcPr>
          <w:p w:rsidR="00170A1A" w:rsidRPr="00C85192" w:rsidRDefault="00170A1A" w:rsidP="00E57366">
            <w:pPr>
              <w:pStyle w:val="Hlistbullet"/>
              <w:numPr>
                <w:ilvl w:val="0"/>
                <w:numId w:val="0"/>
              </w:numPr>
              <w:spacing w:before="0" w:line="280" w:lineRule="atLeast"/>
              <w:jc w:val="center"/>
              <w:rPr>
                <w:b/>
                <w:color w:val="5B9BD5" w:themeColor="accent1"/>
                <w:sz w:val="18"/>
                <w:szCs w:val="18"/>
              </w:rPr>
            </w:pPr>
            <w:r w:rsidRPr="00C85192">
              <w:rPr>
                <w:b/>
                <w:color w:val="5B9BD5" w:themeColor="accent1"/>
                <w:sz w:val="18"/>
                <w:szCs w:val="18"/>
              </w:rPr>
              <w:t>4.</w:t>
            </w:r>
          </w:p>
        </w:tc>
        <w:tc>
          <w:tcPr>
            <w:tcW w:w="8170" w:type="dxa"/>
          </w:tcPr>
          <w:p w:rsidR="00170A1A" w:rsidRPr="00C85192" w:rsidRDefault="00170A1A" w:rsidP="00E22418">
            <w:pPr>
              <w:pStyle w:val="Hlistbullet"/>
              <w:numPr>
                <w:ilvl w:val="0"/>
                <w:numId w:val="0"/>
              </w:numPr>
              <w:spacing w:before="0" w:line="280" w:lineRule="atLeast"/>
              <w:rPr>
                <w:sz w:val="18"/>
                <w:szCs w:val="18"/>
              </w:rPr>
            </w:pPr>
            <w:r w:rsidRPr="00C85192">
              <w:rPr>
                <w:sz w:val="18"/>
                <w:szCs w:val="18"/>
              </w:rPr>
              <w:t>A költségvetési, adat- és időkorlátok figyelembevétele.</w:t>
            </w:r>
          </w:p>
        </w:tc>
      </w:tr>
      <w:tr w:rsidR="00170A1A" w:rsidRPr="00C85192" w:rsidTr="00E57366">
        <w:tc>
          <w:tcPr>
            <w:tcW w:w="846" w:type="dxa"/>
            <w:shd w:val="clear" w:color="auto" w:fill="E7E6E6" w:themeFill="background2"/>
          </w:tcPr>
          <w:p w:rsidR="00170A1A" w:rsidRPr="00C85192" w:rsidRDefault="00170A1A" w:rsidP="00E57366">
            <w:pPr>
              <w:pStyle w:val="Hlistbullet"/>
              <w:numPr>
                <w:ilvl w:val="0"/>
                <w:numId w:val="0"/>
              </w:numPr>
              <w:spacing w:before="0" w:line="280" w:lineRule="atLeast"/>
              <w:jc w:val="center"/>
              <w:rPr>
                <w:b/>
                <w:color w:val="5B9BD5" w:themeColor="accent1"/>
                <w:sz w:val="18"/>
                <w:szCs w:val="18"/>
              </w:rPr>
            </w:pPr>
            <w:r w:rsidRPr="00C85192">
              <w:rPr>
                <w:b/>
                <w:color w:val="5B9BD5" w:themeColor="accent1"/>
                <w:sz w:val="18"/>
                <w:szCs w:val="18"/>
              </w:rPr>
              <w:t>5.</w:t>
            </w:r>
          </w:p>
        </w:tc>
        <w:tc>
          <w:tcPr>
            <w:tcW w:w="8170" w:type="dxa"/>
          </w:tcPr>
          <w:p w:rsidR="00170A1A" w:rsidRPr="00C85192" w:rsidRDefault="00170A1A" w:rsidP="004C05DD">
            <w:pPr>
              <w:pStyle w:val="Hlistbullet"/>
              <w:numPr>
                <w:ilvl w:val="0"/>
                <w:numId w:val="0"/>
              </w:numPr>
              <w:spacing w:before="0" w:line="280" w:lineRule="atLeast"/>
              <w:rPr>
                <w:sz w:val="18"/>
                <w:szCs w:val="18"/>
              </w:rPr>
            </w:pPr>
            <w:r w:rsidRPr="00C85192">
              <w:t>A megfelelő módszerek kiválasztása</w:t>
            </w:r>
            <w:r w:rsidRPr="00C85192">
              <w:rPr>
                <w:rFonts w:ascii="ZWAdobeF" w:hAnsi="ZWAdobeF"/>
                <w:color w:val="auto"/>
                <w:sz w:val="2"/>
                <w:szCs w:val="2"/>
              </w:rPr>
              <w:t>111F</w:t>
            </w:r>
            <w:r w:rsidRPr="00C85192">
              <w:rPr>
                <w:rStyle w:val="FootnoteReference"/>
              </w:rPr>
              <w:footnoteReference w:id="112"/>
            </w:r>
            <w:r w:rsidRPr="00C85192">
              <w:rPr>
                <w:sz w:val="18"/>
                <w:szCs w:val="18"/>
              </w:rPr>
              <w:t>. Olyan módszert kell választani, amely képes megmagyarázni az okozati összefüggéseket, kiküszöbölni az esetleges kiválasztási elfogultságot, elkülöníteni a program hatásait más tényezőktől stb.</w:t>
            </w:r>
          </w:p>
        </w:tc>
      </w:tr>
      <w:tr w:rsidR="00170A1A" w:rsidRPr="00C85192" w:rsidTr="00E57366">
        <w:tc>
          <w:tcPr>
            <w:tcW w:w="9016" w:type="dxa"/>
            <w:gridSpan w:val="2"/>
          </w:tcPr>
          <w:p w:rsidR="00170A1A" w:rsidRPr="00C85192" w:rsidRDefault="00170A1A" w:rsidP="00E22418">
            <w:pPr>
              <w:pStyle w:val="Hlistbullet"/>
              <w:numPr>
                <w:ilvl w:val="0"/>
                <w:numId w:val="0"/>
              </w:numPr>
              <w:spacing w:before="0" w:line="280" w:lineRule="atLeast"/>
              <w:rPr>
                <w:b/>
                <w:sz w:val="18"/>
                <w:szCs w:val="18"/>
              </w:rPr>
            </w:pPr>
            <w:r w:rsidRPr="00C85192">
              <w:rPr>
                <w:b/>
                <w:sz w:val="18"/>
                <w:szCs w:val="18"/>
              </w:rPr>
              <w:t xml:space="preserve">Várt eredmény: </w:t>
            </w:r>
            <w:r w:rsidRPr="00C85192">
              <w:rPr>
                <w:sz w:val="18"/>
                <w:szCs w:val="18"/>
              </w:rPr>
              <w:t>az értékelési módszerek kiválasztása.</w:t>
            </w:r>
          </w:p>
        </w:tc>
      </w:tr>
    </w:tbl>
    <w:p w:rsidR="00170A1A" w:rsidRPr="00C85192" w:rsidRDefault="00170A1A" w:rsidP="00E57366">
      <w:pPr>
        <w:pStyle w:val="HStandard"/>
        <w:spacing w:after="240"/>
      </w:pPr>
      <w:r w:rsidRPr="00C85192">
        <w:rPr>
          <w:color w:val="E7E6E6" w:themeColor="background2"/>
        </w:rPr>
        <w:sym w:font="Wingdings" w:char="F046"/>
      </w:r>
      <w:r w:rsidRPr="00C85192">
        <w:t xml:space="preserve"> </w:t>
      </w:r>
      <w:r w:rsidRPr="00C85192">
        <w:rPr>
          <w:b/>
          <w:color w:val="E7E6E6" w:themeColor="background2"/>
        </w:rPr>
        <w:t>PART III</w:t>
      </w:r>
      <w:r w:rsidRPr="00C85192">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E57366">
        <w:tc>
          <w:tcPr>
            <w:tcW w:w="9016" w:type="dxa"/>
            <w:shd w:val="clear" w:color="auto" w:fill="F5F4F4" w:themeFill="background2" w:themeFillTint="66"/>
          </w:tcPr>
          <w:p w:rsidR="00170A1A" w:rsidRPr="00C85192" w:rsidRDefault="00170A1A" w:rsidP="00E57366">
            <w:pPr>
              <w:pStyle w:val="HStandard"/>
            </w:pPr>
            <w:r w:rsidRPr="00C85192">
              <w:t>A megfelelő értékelési megközelítés és módszerek kiválasztásához használható iránymutató kérdések:</w:t>
            </w:r>
          </w:p>
          <w:p w:rsidR="00170A1A" w:rsidRPr="00C85192" w:rsidRDefault="00170A1A" w:rsidP="00170A1A">
            <w:pPr>
              <w:pStyle w:val="Hlistbullet2"/>
            </w:pPr>
            <w:r w:rsidRPr="00C85192">
              <w:t>Mely értékelési megközelítés és módszerek illenek leginkább az NVH-ra vonatkozó értékelési igényekhez?</w:t>
            </w:r>
          </w:p>
          <w:p w:rsidR="00170A1A" w:rsidRPr="00C85192" w:rsidRDefault="00170A1A" w:rsidP="00170A1A">
            <w:pPr>
              <w:pStyle w:val="Hlistbullet2"/>
            </w:pPr>
            <w:r w:rsidRPr="00C85192">
              <w:lastRenderedPageBreak/>
              <w:t>Milyen megközelítés és módszerek segítenek a megfogalmazott közös és programspecifikus célkitűzéseken túlmutató, az NVH-k által létrehozott hozzáadott érték megállapításához?</w:t>
            </w:r>
          </w:p>
          <w:p w:rsidR="00170A1A" w:rsidRPr="00C85192" w:rsidRDefault="00170A1A" w:rsidP="00170A1A">
            <w:pPr>
              <w:pStyle w:val="Hlistbullet2"/>
            </w:pPr>
            <w:r w:rsidRPr="00C85192">
              <w:t>Mely megközelítés és módszerek alkalmasak leginkább az NVH-k eszmei kihatásainak értékelésére?</w:t>
            </w:r>
          </w:p>
          <w:p w:rsidR="00170A1A" w:rsidRPr="00C85192" w:rsidRDefault="00170A1A" w:rsidP="00170A1A">
            <w:pPr>
              <w:pStyle w:val="Hlistbullet2"/>
            </w:pPr>
            <w:r w:rsidRPr="00C85192">
              <w:t>Mely megközelítés és módszerek segítenek a fő érdekeltek bevonásában és a közöttük fennálló hálózatépítési kapcsolatok megerősítésében?</w:t>
            </w:r>
          </w:p>
          <w:p w:rsidR="00170A1A" w:rsidRPr="00C85192" w:rsidRDefault="00170A1A" w:rsidP="00170A1A">
            <w:pPr>
              <w:pStyle w:val="Hlistbullet2"/>
            </w:pPr>
            <w:r w:rsidRPr="00C85192">
              <w:t>Mely megközelítés és módszerek vezethetnek a legmegbízhatóbb értékelési megállapításokhoz, tekintetbe véve a humán- és társadalmi tőke erőteljesen eszmei jellegét?</w:t>
            </w:r>
          </w:p>
        </w:tc>
      </w:tr>
    </w:tbl>
    <w:p w:rsidR="00170A1A" w:rsidRPr="00C85192" w:rsidRDefault="00170A1A" w:rsidP="00320BBA">
      <w:pPr>
        <w:pStyle w:val="HHeading5"/>
      </w:pPr>
      <w:r w:rsidRPr="00C85192">
        <w:lastRenderedPageBreak/>
        <w:t>Helyes és helytelen gyakorlatok</w:t>
      </w:r>
    </w:p>
    <w:tbl>
      <w:tblPr>
        <w:tblStyle w:val="LightList-Accent5"/>
        <w:tblW w:w="0" w:type="auto"/>
        <w:tblLook w:val="04A0" w:firstRow="1" w:lastRow="0" w:firstColumn="1" w:lastColumn="0" w:noHBand="0" w:noVBand="1"/>
      </w:tblPr>
      <w:tblGrid>
        <w:gridCol w:w="4500"/>
        <w:gridCol w:w="4506"/>
      </w:tblGrid>
      <w:tr w:rsidR="00170A1A" w:rsidRPr="00C85192"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70A1A" w:rsidRPr="00C85192" w:rsidRDefault="00170A1A" w:rsidP="000A3387">
            <w:pPr>
              <w:pStyle w:val="HHeading5"/>
              <w:jc w:val="center"/>
              <w:rPr>
                <w:sz w:val="18"/>
                <w:szCs w:val="18"/>
              </w:rPr>
            </w:pPr>
            <w:r w:rsidRPr="00C85192">
              <w:rPr>
                <w:noProof/>
                <w:sz w:val="18"/>
                <w:szCs w:val="18"/>
                <w:lang w:val="en-GB" w:eastAsia="en-GB"/>
              </w:rPr>
              <w:drawing>
                <wp:inline distT="0" distB="0" distL="0" distR="0" wp14:anchorId="115F85FE" wp14:editId="18A4098D">
                  <wp:extent cx="360000" cy="360000"/>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70A1A" w:rsidRPr="00C85192" w:rsidRDefault="00170A1A"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rPr>
            </w:pPr>
            <w:r w:rsidRPr="00C85192">
              <w:rPr>
                <w:noProof/>
                <w:sz w:val="18"/>
                <w:szCs w:val="18"/>
                <w:lang w:val="en-GB" w:eastAsia="en-GB"/>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A minőségi és mennyiségi megközelítések ötvözetének alkalmazása különböző módszerekkel, valamint különféle perspektívák integrálása.</w:t>
            </w:r>
          </w:p>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Az értékeléshez szükséges erőfeszítés és költségek hozzáigazítása az NVH-tevékenységek hatóköréhez és léptékéhez.</w:t>
            </w:r>
          </w:p>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A monitoringnak, az önértékelésnek és az értékelésnek az átfogó tanulási szerkezet részeként való felfogása.</w:t>
            </w:r>
          </w:p>
          <w:p w:rsidR="00170A1A" w:rsidRPr="00C85192" w:rsidRDefault="00170A1A" w:rsidP="000A3387">
            <w:pPr>
              <w:pStyle w:val="HStandard"/>
              <w:rPr>
                <w:color w:val="FFC000" w:themeColor="accent4"/>
                <w:sz w:val="18"/>
                <w:szCs w:val="18"/>
              </w:rPr>
            </w:pPr>
            <w:r w:rsidRPr="00C85192">
              <w:rPr>
                <w:b w:val="0"/>
                <w:color w:val="FFC000" w:themeColor="accent4"/>
                <w:sz w:val="18"/>
                <w:szCs w:val="18"/>
              </w:rPr>
              <w:t>Rendhagyó módszerekkel való kísérletezés a szokásos módszerek alkalmazása mellett.</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rPr>
            </w:pPr>
            <w:r w:rsidRPr="00C85192">
              <w:rPr>
                <w:b w:val="0"/>
                <w:color w:val="ED7D31" w:themeColor="accent2"/>
                <w:sz w:val="18"/>
                <w:szCs w:val="18"/>
              </w:rPr>
              <w:t>A pusztán mennyiségi mérés túlhangsúlyozása.</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Az egyszerű ok-okozati összefüggések anélkül történő ábrázolása, hogy a megállapításokat visszavezetnék a beavatkozási logika alapját képező átfogó változási elmélethez.</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sidRPr="00C85192">
              <w:rPr>
                <w:color w:val="ED7D31" w:themeColor="accent2"/>
                <w:sz w:val="18"/>
                <w:szCs w:val="18"/>
              </w:rPr>
              <w:t>Az önértékelési gyakorlatokból vagy a kísérő tanulmányokból származó eredmények figyelmen kívül hagyása.</w:t>
            </w:r>
          </w:p>
        </w:tc>
      </w:tr>
    </w:tbl>
    <w:p w:rsidR="00170A1A" w:rsidRPr="00C85192" w:rsidRDefault="00170A1A" w:rsidP="00320BBA">
      <w:pPr>
        <w:pStyle w:val="HHeading5"/>
      </w:pPr>
      <w:r w:rsidRPr="00C85192">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70A1A" w:rsidRPr="00C85192" w:rsidTr="004C05DD">
        <w:tc>
          <w:tcPr>
            <w:tcW w:w="9918" w:type="dxa"/>
            <w:shd w:val="clear" w:color="auto" w:fill="FAF9F9" w:themeFill="background2" w:themeFillTint="33"/>
          </w:tcPr>
          <w:p w:rsidR="00170A1A" w:rsidRPr="00C85192" w:rsidRDefault="00170A1A" w:rsidP="00E57366">
            <w:pPr>
              <w:pStyle w:val="HStandard"/>
              <w:rPr>
                <w:sz w:val="16"/>
                <w:szCs w:val="16"/>
              </w:rPr>
            </w:pPr>
            <w:r w:rsidRPr="00C85192">
              <w:rPr>
                <w:sz w:val="16"/>
                <w:szCs w:val="16"/>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7" w:history="1">
              <w:r w:rsidRPr="00C85192">
                <w:rPr>
                  <w:rStyle w:val="Hyperlink"/>
                  <w:sz w:val="16"/>
                  <w:szCs w:val="16"/>
                </w:rPr>
                <w:t>The Guidelines for ex post evaluation of RDP 2007 - 2013</w:t>
              </w:r>
            </w:hyperlink>
            <w:r w:rsidRPr="00C85192">
              <w:rPr>
                <w:sz w:val="16"/>
                <w:szCs w:val="16"/>
              </w:rPr>
              <w:t>, Evaluation Helpdesk, Brussels, 2014.</w:t>
            </w:r>
          </w:p>
          <w:p w:rsidR="00170A1A" w:rsidRPr="00C85192" w:rsidRDefault="00170A1A" w:rsidP="00E57366">
            <w:pPr>
              <w:pStyle w:val="HStandard"/>
              <w:rPr>
                <w:sz w:val="16"/>
                <w:szCs w:val="16"/>
              </w:rPr>
            </w:pPr>
            <w:r w:rsidRPr="00C85192">
              <w:rPr>
                <w:sz w:val="16"/>
                <w:szCs w:val="16"/>
              </w:rPr>
              <w:t>Concerning the assessment of impacts:</w:t>
            </w:r>
          </w:p>
          <w:p w:rsidR="00170A1A" w:rsidRPr="00C85192" w:rsidRDefault="00170A1A" w:rsidP="00E57366">
            <w:pPr>
              <w:pStyle w:val="HStandard"/>
              <w:rPr>
                <w:sz w:val="16"/>
                <w:szCs w:val="16"/>
              </w:rPr>
            </w:pPr>
            <w:r w:rsidRPr="00C85192">
              <w:rPr>
                <w:sz w:val="16"/>
                <w:szCs w:val="16"/>
              </w:rPr>
              <w:t>Working Paper of the Rural Evaluation Helpdesk (July 2010): Approaches for assessing the impacts of the Rural Development Programmes in the context of multiple intervening factors, p. 26 ff.</w:t>
            </w:r>
          </w:p>
          <w:p w:rsidR="00170A1A" w:rsidRPr="00C85192" w:rsidRDefault="00170A1A" w:rsidP="00E57366">
            <w:pPr>
              <w:pStyle w:val="HStandard"/>
              <w:rPr>
                <w:sz w:val="16"/>
                <w:szCs w:val="16"/>
              </w:rPr>
            </w:pPr>
            <w:r w:rsidRPr="00C85192">
              <w:rPr>
                <w:sz w:val="16"/>
                <w:szCs w:val="16"/>
              </w:rPr>
              <w:t>Assessment of RDP results: How to prepare for reporting on evaluation in 2017, Evaluation Helpdesk, April 2016</w:t>
            </w:r>
          </w:p>
        </w:tc>
      </w:tr>
    </w:tbl>
    <w:p w:rsidR="00170A1A" w:rsidRPr="00C85192" w:rsidRDefault="00170A1A" w:rsidP="00642574">
      <w:pPr>
        <w:pStyle w:val="HHeading3"/>
      </w:pPr>
      <w:bookmarkStart w:id="174" w:name="_Toc434744517"/>
      <w:bookmarkStart w:id="175" w:name="_Toc436140059"/>
      <w:bookmarkStart w:id="176" w:name="_Toc443491684"/>
      <w:bookmarkStart w:id="177" w:name="_Toc453079768"/>
      <w:r w:rsidRPr="00C85192">
        <w:t>Az értékeléshez használt bizonyítékok összegyűjtését szolgáló rendszer kialakítása</w:t>
      </w:r>
      <w:bookmarkEnd w:id="174"/>
      <w:bookmarkEnd w:id="175"/>
      <w:bookmarkEnd w:id="176"/>
      <w:bookmarkEnd w:id="177"/>
      <w:r w:rsidRPr="00C85192">
        <w:t xml:space="preserve"> </w:t>
      </w:r>
    </w:p>
    <w:p w:rsidR="00170A1A" w:rsidRPr="00C85192" w:rsidRDefault="00170A1A" w:rsidP="00216BE4">
      <w:pPr>
        <w:pStyle w:val="HStandard"/>
      </w:pPr>
      <w:r w:rsidRPr="00C85192">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170A1A" w:rsidRPr="00C85192" w:rsidRDefault="00170A1A" w:rsidP="00216BE4">
      <w:pPr>
        <w:pStyle w:val="HStandard"/>
      </w:pPr>
      <w:r w:rsidRPr="00C85192">
        <w:t xml:space="preserve">There are four discernible options concerning available data sources for NRNs: </w:t>
      </w:r>
    </w:p>
    <w:p w:rsidR="00170A1A" w:rsidRPr="00C85192" w:rsidRDefault="00170A1A" w:rsidP="007517DC">
      <w:pPr>
        <w:pStyle w:val="Hlistabc"/>
        <w:numPr>
          <w:ilvl w:val="0"/>
          <w:numId w:val="19"/>
        </w:numPr>
      </w:pPr>
      <w:r w:rsidRPr="00C85192">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170A1A" w:rsidRPr="00C85192" w:rsidRDefault="00170A1A" w:rsidP="00216BE4">
      <w:pPr>
        <w:pStyle w:val="Hlistabc2"/>
      </w:pPr>
      <w:r w:rsidRPr="00C85192">
        <w:lastRenderedPageBreak/>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170A1A" w:rsidRPr="00C85192" w:rsidRDefault="00170A1A" w:rsidP="00216BE4">
      <w:pPr>
        <w:pStyle w:val="Hlistabc2"/>
      </w:pPr>
      <w:r w:rsidRPr="00C85192">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170A1A" w:rsidRPr="00C85192" w:rsidRDefault="00170A1A" w:rsidP="00216BE4">
      <w:pPr>
        <w:pStyle w:val="Hlistabc2"/>
      </w:pPr>
      <w:r w:rsidRPr="00C85192">
        <w:t>There are also cases of NRNs which have developed their own monitoring system (separately from that of the MA) to collect information on their operations through their own database.</w:t>
      </w:r>
    </w:p>
    <w:p w:rsidR="00170A1A" w:rsidRPr="00C85192" w:rsidRDefault="00170A1A" w:rsidP="00216BE4">
      <w:pPr>
        <w:pStyle w:val="HStandard"/>
      </w:pPr>
      <w:r w:rsidRPr="00C85192">
        <w:t>Whatever the chosen or available option for collecting and storing data, there should be some harmonisation and coordination of all of the above to avoid duplication of data and effort.</w:t>
      </w:r>
    </w:p>
    <w:p w:rsidR="00170A1A" w:rsidRPr="00C85192" w:rsidRDefault="00170A1A" w:rsidP="00216BE4">
      <w:pPr>
        <w:pStyle w:val="HStandard"/>
      </w:pPr>
      <w:r w:rsidRPr="00C85192">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sidRPr="00C85192">
        <w:rPr>
          <w:rFonts w:ascii="ZWAdobeF" w:hAnsi="ZWAdobeF"/>
          <w:color w:val="auto"/>
          <w:sz w:val="2"/>
          <w:szCs w:val="2"/>
        </w:rPr>
        <w:t>112</w:t>
      </w:r>
      <w:r>
        <w:rPr>
          <w:rFonts w:ascii="ZWAdobeF" w:hAnsi="ZWAdobeF" w:cs="ZWAdobeF"/>
          <w:color w:val="auto"/>
          <w:sz w:val="2"/>
          <w:szCs w:val="2"/>
        </w:rPr>
        <w:t>12F</w:t>
      </w:r>
      <w:r w:rsidRPr="008D0759">
        <w:rPr>
          <w:rStyle w:val="FootnoteReference"/>
        </w:rPr>
        <w:footnoteReference w:id="113"/>
      </w:r>
      <w:r w:rsidRPr="00C85192">
        <w:rPr>
          <w:rFonts w:ascii="ZWAdobeF" w:hAnsi="ZWAdobeF"/>
          <w:color w:val="auto"/>
          <w:sz w:val="2"/>
          <w:szCs w:val="2"/>
        </w:rPr>
        <w:t>F</w:t>
      </w:r>
      <w:r w:rsidRPr="00C85192">
        <w:t>.</w:t>
      </w:r>
    </w:p>
    <w:p w:rsidR="00170A1A" w:rsidRPr="00C85192" w:rsidRDefault="00170A1A" w:rsidP="00216BE4">
      <w:pPr>
        <w:pStyle w:val="HStandard"/>
      </w:pPr>
      <w:r w:rsidRPr="00C85192">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170A1A" w:rsidRPr="00C85192" w:rsidRDefault="00170A1A" w:rsidP="000A3387">
      <w:pPr>
        <w:pStyle w:val="Heading6"/>
      </w:pPr>
      <w:bookmarkStart w:id="178" w:name="_Toc434744518"/>
      <w:bookmarkStart w:id="179" w:name="_Toc436140060"/>
      <w:r w:rsidRPr="00C85192">
        <w:t>What are the issues to be considered in relation to data/information needs and sources for NRNs</w:t>
      </w:r>
      <w:bookmarkEnd w:id="178"/>
      <w:bookmarkEnd w:id="179"/>
      <w:r w:rsidRPr="00C85192">
        <w:t>?</w:t>
      </w:r>
    </w:p>
    <w:p w:rsidR="00170A1A" w:rsidRPr="00C85192" w:rsidRDefault="00170A1A" w:rsidP="00216BE4">
      <w:pPr>
        <w:pStyle w:val="HStandard"/>
      </w:pPr>
      <w:r w:rsidRPr="00C85192">
        <w:t xml:space="preserve">Information for NRN results and impacts should be captured where NRN effects are expected: </w:t>
      </w:r>
    </w:p>
    <w:p w:rsidR="00170A1A" w:rsidRPr="00C85192" w:rsidRDefault="00170A1A" w:rsidP="000A3387">
      <w:pPr>
        <w:pStyle w:val="Hlistbullet2"/>
      </w:pPr>
      <w:r w:rsidRPr="00C85192">
        <w:t>At the level of individuals (micro level) participating in the network activities, where they acquire knowledge and information in order to conduct their work more effectively;</w:t>
      </w:r>
    </w:p>
    <w:p w:rsidR="00170A1A" w:rsidRPr="00C85192" w:rsidRDefault="00170A1A" w:rsidP="000A3387">
      <w:pPr>
        <w:pStyle w:val="Hlistbullet2"/>
      </w:pPr>
      <w:r w:rsidRPr="00C85192">
        <w:t xml:space="preserve">At the level of NRN groups of stakeholders and their organisations (meso level), where effects in relation to building capacities to achieve the NRN and RDP objectives can be expected; </w:t>
      </w:r>
    </w:p>
    <w:p w:rsidR="00170A1A" w:rsidRPr="00C85192" w:rsidRDefault="00170A1A" w:rsidP="000A3387">
      <w:pPr>
        <w:pStyle w:val="Hlistbullet2"/>
      </w:pPr>
      <w:r w:rsidRPr="00C85192">
        <w:t>At the level of rural areas (macro level), where effects for example on the improvement of the governance in the rural areas in a broader sense can be expected.</w:t>
      </w:r>
    </w:p>
    <w:p w:rsidR="00170A1A" w:rsidRPr="00C85192" w:rsidRDefault="00170A1A" w:rsidP="00216BE4">
      <w:pPr>
        <w:pStyle w:val="HStandard"/>
      </w:pPr>
      <w:r w:rsidRPr="00C85192">
        <w:t xml:space="preserve">Each type of information requires specific collection methods, for instance: </w:t>
      </w:r>
    </w:p>
    <w:p w:rsidR="00170A1A" w:rsidRPr="00C85192" w:rsidRDefault="00170A1A" w:rsidP="00216BE4">
      <w:pPr>
        <w:pStyle w:val="Hlistbullet2"/>
      </w:pPr>
      <w:r w:rsidRPr="00C85192">
        <w:t xml:space="preserve">Data &amp; information relating to participation and satisfaction, e.g. via assessment sheets, questionnaires, etc. directly or almost directly at network activities; </w:t>
      </w:r>
    </w:p>
    <w:p w:rsidR="00170A1A" w:rsidRPr="00C85192" w:rsidRDefault="00170A1A" w:rsidP="00216BE4">
      <w:pPr>
        <w:pStyle w:val="Hlistbullet2"/>
      </w:pPr>
      <w:r w:rsidRPr="00C85192">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170A1A" w:rsidRPr="00C85192" w:rsidRDefault="00170A1A" w:rsidP="00216BE4">
      <w:pPr>
        <w:pStyle w:val="Hlistbullet2"/>
      </w:pPr>
      <w:r w:rsidRPr="00C85192">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170A1A" w:rsidRPr="00C85192" w:rsidRDefault="00170A1A" w:rsidP="00216BE4">
      <w:pPr>
        <w:pStyle w:val="HStandard"/>
      </w:pPr>
      <w:r w:rsidRPr="00C85192">
        <w:lastRenderedPageBreak/>
        <w:t xml:space="preserve">In a schematic way the following data needs and sources can be discerned: </w:t>
      </w:r>
    </w:p>
    <w:p w:rsidR="00170A1A" w:rsidRPr="00C85192" w:rsidRDefault="00170A1A" w:rsidP="00216BE4">
      <w:pPr>
        <w:pStyle w:val="Hlistbullet2"/>
      </w:pPr>
      <w:r w:rsidRPr="00C85192">
        <w:t>Quantitative data for input and output indicators (monitoring based on the operations database). Data on result indicators already defined during the programme design phase may also be included in the monitoring system.</w:t>
      </w:r>
    </w:p>
    <w:p w:rsidR="00170A1A" w:rsidRPr="00C85192" w:rsidRDefault="00170A1A" w:rsidP="00216BE4">
      <w:pPr>
        <w:pStyle w:val="Hlistbullet2"/>
      </w:pPr>
      <w:r w:rsidRPr="00C85192">
        <w:t>Quantitative data and qualitative information for result indicators collected from NRN beneficiaries (surveys, focus groups, case studies, etc.) by the NSU (self-assessment) or during the evaluation.</w:t>
      </w:r>
    </w:p>
    <w:p w:rsidR="00170A1A" w:rsidRPr="00C85192" w:rsidRDefault="00170A1A" w:rsidP="00216BE4">
      <w:pPr>
        <w:pStyle w:val="Hlistbullet2"/>
      </w:pPr>
      <w:r w:rsidRPr="00C85192">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sidRPr="00C85192">
        <w:rPr>
          <w:i/>
        </w:rPr>
        <w:t>‘Number of actors (by type) participating in the implementation of RDPs as a consequence of the NRN activities’</w:t>
      </w:r>
      <w:r w:rsidRPr="00C85192">
        <w:t xml:space="preserve"> developed for the Spanish NRN).</w:t>
      </w:r>
    </w:p>
    <w:p w:rsidR="00170A1A" w:rsidRPr="00C85192" w:rsidRDefault="00170A1A" w:rsidP="000A3387">
      <w:pPr>
        <w:pStyle w:val="Heading6"/>
      </w:pPr>
      <w:bookmarkStart w:id="180" w:name="_Toc434744519"/>
      <w:bookmarkStart w:id="181" w:name="_Toc436140061"/>
      <w:r w:rsidRPr="00C85192">
        <w:t xml:space="preserve">Melyek az adatok és információk összegyűjtésére szolgáló rendszer kialakításának fő lépései? </w:t>
      </w:r>
      <w:bookmarkEnd w:id="180"/>
      <w:bookmarkEnd w:id="181"/>
    </w:p>
    <w:p w:rsidR="00170A1A" w:rsidRPr="00C85192" w:rsidRDefault="00170A1A" w:rsidP="00216BE4">
      <w:pPr>
        <w:pStyle w:val="HStandard"/>
      </w:pPr>
      <w:r w:rsidRPr="00C85192">
        <w:t>High quality and timely available data and information are essential for calculating and filling the indicators and applying the selected evaluation methods. Therefore, emphasis should be put on the proper establishment of data and information collection systems. A folyamat javasolt lépései és azok várt eredménye:</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70A1A" w:rsidRPr="00C85192" w:rsidTr="00C2517E">
        <w:tc>
          <w:tcPr>
            <w:tcW w:w="988" w:type="dxa"/>
            <w:shd w:val="clear" w:color="auto" w:fill="E7E6E6" w:themeFill="background2"/>
          </w:tcPr>
          <w:p w:rsidR="00170A1A" w:rsidRPr="00C85192" w:rsidRDefault="00170A1A" w:rsidP="00C2517E">
            <w:pPr>
              <w:pStyle w:val="HStandard"/>
              <w:spacing w:after="0"/>
              <w:jc w:val="center"/>
              <w:rPr>
                <w:b/>
                <w:color w:val="5B9BD5" w:themeColor="accent1"/>
                <w:sz w:val="18"/>
                <w:szCs w:val="18"/>
              </w:rPr>
            </w:pPr>
            <w:r w:rsidRPr="00C85192">
              <w:rPr>
                <w:b/>
                <w:color w:val="5B9BD5" w:themeColor="accent1"/>
                <w:sz w:val="18"/>
                <w:szCs w:val="18"/>
              </w:rPr>
              <w:t>1.</w:t>
            </w:r>
          </w:p>
        </w:tc>
        <w:tc>
          <w:tcPr>
            <w:tcW w:w="8028" w:type="dxa"/>
          </w:tcPr>
          <w:p w:rsidR="00170A1A" w:rsidRPr="00C85192" w:rsidRDefault="00170A1A" w:rsidP="007046A4">
            <w:pPr>
              <w:pStyle w:val="Hlistbullet"/>
              <w:numPr>
                <w:ilvl w:val="0"/>
                <w:numId w:val="0"/>
              </w:numPr>
              <w:spacing w:before="0" w:line="280" w:lineRule="atLeast"/>
              <w:ind w:left="284"/>
            </w:pPr>
            <w:r w:rsidRPr="00C85192">
              <w:rPr>
                <w:sz w:val="18"/>
                <w:szCs w:val="18"/>
              </w:rPr>
              <w:t>Az adatszükségletek és -források azonosítása (a mutatók és a kiválasztott értékelési módszer szerint).</w:t>
            </w:r>
          </w:p>
        </w:tc>
      </w:tr>
      <w:tr w:rsidR="00170A1A" w:rsidRPr="00C85192" w:rsidTr="00C2517E">
        <w:tc>
          <w:tcPr>
            <w:tcW w:w="988" w:type="dxa"/>
            <w:shd w:val="clear" w:color="auto" w:fill="E7E6E6" w:themeFill="background2"/>
          </w:tcPr>
          <w:p w:rsidR="00170A1A" w:rsidRPr="00C85192" w:rsidRDefault="00170A1A" w:rsidP="00C2517E">
            <w:pPr>
              <w:pStyle w:val="HStandard"/>
              <w:spacing w:after="0"/>
              <w:jc w:val="center"/>
              <w:rPr>
                <w:b/>
                <w:color w:val="5B9BD5" w:themeColor="accent1"/>
                <w:sz w:val="18"/>
                <w:szCs w:val="18"/>
              </w:rPr>
            </w:pPr>
            <w:r w:rsidRPr="00C85192">
              <w:rPr>
                <w:b/>
                <w:color w:val="5B9BD5" w:themeColor="accent1"/>
                <w:sz w:val="18"/>
                <w:szCs w:val="18"/>
              </w:rPr>
              <w:t>2.</w:t>
            </w:r>
          </w:p>
        </w:tc>
        <w:tc>
          <w:tcPr>
            <w:tcW w:w="8028" w:type="dxa"/>
          </w:tcPr>
          <w:p w:rsidR="00170A1A" w:rsidRPr="00C85192" w:rsidRDefault="00170A1A" w:rsidP="007046A4">
            <w:pPr>
              <w:pStyle w:val="Hlistbullet"/>
              <w:numPr>
                <w:ilvl w:val="0"/>
                <w:numId w:val="0"/>
              </w:numPr>
              <w:spacing w:before="0" w:line="280" w:lineRule="atLeast"/>
              <w:ind w:left="644" w:hanging="360"/>
            </w:pPr>
            <w:r w:rsidRPr="00C85192">
              <w:rPr>
                <w:sz w:val="18"/>
                <w:szCs w:val="18"/>
              </w:rPr>
              <w:t>A meglévő adatok és adatforrások áttekintése.</w:t>
            </w:r>
          </w:p>
        </w:tc>
      </w:tr>
      <w:tr w:rsidR="00170A1A" w:rsidRPr="00C85192" w:rsidTr="00C2517E">
        <w:tc>
          <w:tcPr>
            <w:tcW w:w="988" w:type="dxa"/>
            <w:shd w:val="clear" w:color="auto" w:fill="E7E6E6" w:themeFill="background2"/>
          </w:tcPr>
          <w:p w:rsidR="00170A1A" w:rsidRPr="00C85192" w:rsidRDefault="00170A1A" w:rsidP="00C2517E">
            <w:pPr>
              <w:pStyle w:val="HStandard"/>
              <w:spacing w:after="0"/>
              <w:jc w:val="center"/>
              <w:rPr>
                <w:b/>
                <w:color w:val="5B9BD5" w:themeColor="accent1"/>
                <w:sz w:val="18"/>
                <w:szCs w:val="18"/>
              </w:rPr>
            </w:pPr>
            <w:r w:rsidRPr="00C85192">
              <w:rPr>
                <w:b/>
                <w:color w:val="5B9BD5" w:themeColor="accent1"/>
                <w:sz w:val="18"/>
                <w:szCs w:val="18"/>
              </w:rPr>
              <w:t>3.</w:t>
            </w:r>
          </w:p>
        </w:tc>
        <w:tc>
          <w:tcPr>
            <w:tcW w:w="8028" w:type="dxa"/>
          </w:tcPr>
          <w:p w:rsidR="00170A1A" w:rsidRPr="00C85192" w:rsidRDefault="00170A1A" w:rsidP="007046A4">
            <w:pPr>
              <w:pStyle w:val="Hlistbullet2"/>
              <w:numPr>
                <w:ilvl w:val="0"/>
                <w:numId w:val="0"/>
              </w:numPr>
              <w:spacing w:before="0" w:after="0" w:line="280" w:lineRule="atLeast"/>
              <w:ind w:left="644" w:hanging="360"/>
            </w:pPr>
            <w:r w:rsidRPr="00C85192">
              <w:rPr>
                <w:sz w:val="18"/>
                <w:szCs w:val="18"/>
              </w:rPr>
              <w:t>A további összegyűjtendő adatok meghatározása.</w:t>
            </w:r>
          </w:p>
        </w:tc>
      </w:tr>
      <w:tr w:rsidR="00170A1A" w:rsidRPr="00C85192" w:rsidTr="00216BE4">
        <w:tc>
          <w:tcPr>
            <w:tcW w:w="9016" w:type="dxa"/>
            <w:gridSpan w:val="2"/>
          </w:tcPr>
          <w:p w:rsidR="00170A1A" w:rsidRPr="00C85192" w:rsidRDefault="00170A1A" w:rsidP="004C05DD">
            <w:pPr>
              <w:pStyle w:val="HStandard"/>
              <w:spacing w:after="0"/>
              <w:rPr>
                <w:sz w:val="18"/>
                <w:szCs w:val="18"/>
              </w:rPr>
            </w:pPr>
            <w:r w:rsidRPr="00C85192">
              <w:rPr>
                <w:b/>
                <w:sz w:val="18"/>
                <w:szCs w:val="18"/>
              </w:rPr>
              <w:t>Várt eredmény</w:t>
            </w:r>
            <w:r w:rsidRPr="00C85192">
              <w:rPr>
                <w:sz w:val="18"/>
                <w:szCs w:val="18"/>
              </w:rPr>
              <w:t>: a meglévő adatok és információforrások, hiányzó adatok és az azok összegyűjtésére vonatkozó rendelkezések listája.</w:t>
            </w:r>
          </w:p>
        </w:tc>
      </w:tr>
    </w:tbl>
    <w:p w:rsidR="00170A1A" w:rsidRPr="00C85192" w:rsidRDefault="00170A1A" w:rsidP="00C2517E">
      <w:pPr>
        <w:pStyle w:val="HStandard"/>
      </w:pPr>
      <w:r w:rsidRPr="00C85192">
        <w:t>The steps in establishing the system for collection of data and information is detailed below.</w:t>
      </w:r>
    </w:p>
    <w:p w:rsidR="00170A1A" w:rsidRPr="00C85192" w:rsidRDefault="00170A1A" w:rsidP="007046A4">
      <w:pPr>
        <w:pStyle w:val="HStandard"/>
        <w:rPr>
          <w:b/>
          <w:color w:val="ED7D31" w:themeColor="accent2"/>
        </w:rPr>
      </w:pPr>
      <w:r w:rsidRPr="00C85192">
        <w:rPr>
          <w:b/>
          <w:color w:val="ED7D31" w:themeColor="accent2"/>
        </w:rPr>
        <w:t>Step 1 - Identify data needs and sources</w:t>
      </w:r>
    </w:p>
    <w:p w:rsidR="00170A1A" w:rsidRPr="00C85192" w:rsidRDefault="00170A1A" w:rsidP="00C2517E">
      <w:pPr>
        <w:pStyle w:val="HStandard"/>
      </w:pPr>
      <w:r w:rsidRPr="00C85192">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sidRPr="00C85192">
        <w:rPr>
          <w:b/>
          <w:color w:val="E7E6E6" w:themeColor="background2"/>
        </w:rPr>
        <w:t>PART I</w:t>
      </w:r>
      <w:r w:rsidRPr="00C85192">
        <w:t xml:space="preserve"> of this document). In this case the evaluator should get access to all available data and information from the MA or the NSU. </w:t>
      </w:r>
    </w:p>
    <w:p w:rsidR="00170A1A" w:rsidRPr="00C85192" w:rsidRDefault="00170A1A" w:rsidP="00C2517E">
      <w:pPr>
        <w:pStyle w:val="HStandard"/>
      </w:pPr>
      <w:r w:rsidRPr="00C85192">
        <w:t>In cases were the evaluator is supposed to choose the evaluation approach and methodology, the probability that data needs are covered by the available information will be lower.</w:t>
      </w:r>
    </w:p>
    <w:p w:rsidR="00170A1A" w:rsidRPr="00C85192" w:rsidRDefault="00170A1A" w:rsidP="00320BBA">
      <w:pPr>
        <w:pStyle w:val="HStandard"/>
        <w:spacing w:after="0"/>
      </w:pPr>
      <w:r w:rsidRPr="00C85192">
        <w:fldChar w:fldCharType="begin" w:fldLock="1"/>
      </w:r>
      <w:r w:rsidRPr="00C85192">
        <w:instrText xml:space="preserve"> REF _Ref451785052 \r \h </w:instrText>
      </w:r>
      <w:r>
        <w:instrText xml:space="preserve"> \* MERGEFORMAT </w:instrText>
      </w:r>
      <w:r w:rsidRPr="00C85192">
        <w:fldChar w:fldCharType="separate"/>
      </w:r>
      <w:r w:rsidRPr="00C85192">
        <w:t>Table 12</w:t>
      </w:r>
      <w:r w:rsidRPr="00C85192">
        <w:fldChar w:fldCharType="end"/>
      </w:r>
      <w:r w:rsidRPr="00C85192">
        <w:t xml:space="preserve"> gives an indicative overview of which data are needed for which types of methods. </w:t>
      </w:r>
    </w:p>
    <w:p w:rsidR="00170A1A" w:rsidRPr="00C85192" w:rsidRDefault="00170A1A">
      <w:pPr>
        <w:spacing w:after="0" w:line="240" w:lineRule="auto"/>
        <w:rPr>
          <w:rFonts w:cs="Arial"/>
          <w:color w:val="576C88" w:themeColor="text2" w:themeTint="D9"/>
          <w:sz w:val="20"/>
          <w:szCs w:val="20"/>
        </w:rPr>
      </w:pPr>
      <w:r w:rsidRPr="00C85192">
        <w:br w:type="page"/>
      </w:r>
    </w:p>
    <w:p w:rsidR="00170A1A" w:rsidRPr="00C85192" w:rsidRDefault="00170A1A" w:rsidP="00C2517E">
      <w:pPr>
        <w:pStyle w:val="HHeadingtables"/>
      </w:pPr>
      <w:bookmarkStart w:id="182" w:name="_Toc436140068"/>
      <w:bookmarkStart w:id="183" w:name="_Toc436383154"/>
      <w:bookmarkStart w:id="184" w:name="_Toc451781916"/>
      <w:bookmarkStart w:id="185" w:name="_Ref451785052"/>
      <w:r w:rsidRPr="00C85192">
        <w:lastRenderedPageBreak/>
        <w:t>Type of data required for different evaluation methods</w:t>
      </w:r>
      <w:bookmarkEnd w:id="182"/>
      <w:bookmarkEnd w:id="183"/>
      <w:bookmarkEnd w:id="184"/>
      <w:bookmarkEnd w:id="185"/>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170A1A" w:rsidRPr="00C85192" w:rsidTr="004C05DD">
        <w:tc>
          <w:tcPr>
            <w:tcW w:w="1763" w:type="dxa"/>
            <w:shd w:val="clear" w:color="auto" w:fill="E7E6E6" w:themeFill="background2"/>
          </w:tcPr>
          <w:p w:rsidR="00170A1A" w:rsidRPr="00C85192" w:rsidRDefault="00170A1A" w:rsidP="00C2517E">
            <w:pPr>
              <w:pStyle w:val="Htableleftbolt"/>
              <w:jc w:val="center"/>
              <w:rPr>
                <w:color w:val="5B9BD5" w:themeColor="accent1"/>
                <w:sz w:val="18"/>
                <w:szCs w:val="18"/>
              </w:rPr>
            </w:pPr>
            <w:r w:rsidRPr="00C85192">
              <w:rPr>
                <w:color w:val="5B9BD5" w:themeColor="accent1"/>
                <w:sz w:val="18"/>
                <w:szCs w:val="18"/>
              </w:rPr>
              <w:t>Method</w:t>
            </w:r>
          </w:p>
        </w:tc>
        <w:tc>
          <w:tcPr>
            <w:tcW w:w="2392" w:type="dxa"/>
            <w:shd w:val="clear" w:color="auto" w:fill="E7E6E6" w:themeFill="background2"/>
          </w:tcPr>
          <w:p w:rsidR="00170A1A" w:rsidRPr="00C85192" w:rsidRDefault="00170A1A" w:rsidP="00C2517E">
            <w:pPr>
              <w:pStyle w:val="Htableleftbolt"/>
              <w:jc w:val="center"/>
              <w:rPr>
                <w:color w:val="5B9BD5" w:themeColor="accent1"/>
                <w:sz w:val="18"/>
                <w:szCs w:val="18"/>
              </w:rPr>
            </w:pPr>
            <w:r w:rsidRPr="00C85192">
              <w:rPr>
                <w:color w:val="5B9BD5" w:themeColor="accent1"/>
                <w:sz w:val="18"/>
                <w:szCs w:val="18"/>
              </w:rPr>
              <w:t>Type of data</w:t>
            </w:r>
          </w:p>
        </w:tc>
        <w:tc>
          <w:tcPr>
            <w:tcW w:w="2264" w:type="dxa"/>
            <w:shd w:val="clear" w:color="auto" w:fill="E7E6E6" w:themeFill="background2"/>
          </w:tcPr>
          <w:p w:rsidR="00170A1A" w:rsidRPr="00C85192" w:rsidRDefault="00170A1A" w:rsidP="00C2517E">
            <w:pPr>
              <w:pStyle w:val="Htableleftbolt"/>
              <w:jc w:val="center"/>
              <w:rPr>
                <w:color w:val="5B9BD5" w:themeColor="accent1"/>
                <w:sz w:val="18"/>
                <w:szCs w:val="18"/>
              </w:rPr>
            </w:pPr>
            <w:r w:rsidRPr="00C85192">
              <w:rPr>
                <w:color w:val="5B9BD5" w:themeColor="accent1"/>
                <w:sz w:val="18"/>
                <w:szCs w:val="18"/>
              </w:rPr>
              <w:t>Collection</w:t>
            </w:r>
          </w:p>
        </w:tc>
        <w:tc>
          <w:tcPr>
            <w:tcW w:w="2653" w:type="dxa"/>
            <w:shd w:val="clear" w:color="auto" w:fill="E7E6E6" w:themeFill="background2"/>
          </w:tcPr>
          <w:p w:rsidR="00170A1A" w:rsidRPr="00C85192" w:rsidRDefault="00170A1A" w:rsidP="00C2517E">
            <w:pPr>
              <w:pStyle w:val="Htableleftbolt"/>
              <w:jc w:val="center"/>
              <w:rPr>
                <w:color w:val="5B9BD5" w:themeColor="accent1"/>
                <w:sz w:val="18"/>
                <w:szCs w:val="18"/>
              </w:rPr>
            </w:pPr>
            <w:r w:rsidRPr="00C85192">
              <w:rPr>
                <w:color w:val="5B9BD5" w:themeColor="accent1"/>
                <w:sz w:val="18"/>
                <w:szCs w:val="18"/>
              </w:rPr>
              <w:t>Possible boundaries</w:t>
            </w:r>
          </w:p>
        </w:tc>
      </w:tr>
      <w:tr w:rsidR="00170A1A" w:rsidRPr="00C85192" w:rsidTr="004C05DD">
        <w:tc>
          <w:tcPr>
            <w:tcW w:w="176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Surveys (interviews)</w:t>
            </w:r>
          </w:p>
        </w:tc>
        <w:tc>
          <w:tcPr>
            <w:tcW w:w="2392"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Relevant interviewees (stakeholders, beneficiaries, experts, witnesses)</w:t>
            </w:r>
          </w:p>
        </w:tc>
        <w:tc>
          <w:tcPr>
            <w:tcW w:w="2264"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Desk research, information from stakeholders</w:t>
            </w:r>
          </w:p>
        </w:tc>
        <w:tc>
          <w:tcPr>
            <w:tcW w:w="265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It is essential to reflect on the boundaries of the system and the number of interviewees; “witnesses” can be valuable as control groups.</w:t>
            </w:r>
          </w:p>
        </w:tc>
      </w:tr>
      <w:tr w:rsidR="00170A1A" w:rsidRPr="00C85192" w:rsidTr="004C05DD">
        <w:tc>
          <w:tcPr>
            <w:tcW w:w="176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Dialogue-based methods (self-assessment methods and focus groups)</w:t>
            </w:r>
          </w:p>
        </w:tc>
        <w:tc>
          <w:tcPr>
            <w:tcW w:w="2392"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Potential participants and contributors</w:t>
            </w:r>
          </w:p>
        </w:tc>
        <w:tc>
          <w:tcPr>
            <w:tcW w:w="2264"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Desk research, information from stakeholders</w:t>
            </w:r>
          </w:p>
        </w:tc>
        <w:tc>
          <w:tcPr>
            <w:tcW w:w="265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Diversity of participants and modularity of dialogue settings are paramount.</w:t>
            </w:r>
          </w:p>
        </w:tc>
      </w:tr>
      <w:tr w:rsidR="00170A1A" w:rsidRPr="00C85192" w:rsidTr="004C05DD">
        <w:tc>
          <w:tcPr>
            <w:tcW w:w="176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Analytical methods (cost-benefit and cost-effectiveness analysis)</w:t>
            </w:r>
          </w:p>
        </w:tc>
        <w:tc>
          <w:tcPr>
            <w:tcW w:w="2392"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Quantitative data (volumes and funding)  on specific interventions;  beneficiaries and non-beneficiaries</w:t>
            </w:r>
          </w:p>
        </w:tc>
        <w:tc>
          <w:tcPr>
            <w:tcW w:w="2264"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Reports and monitoring data (from NRN(P) operation database but also from RDP implementation); project managers and beneficiaries</w:t>
            </w:r>
          </w:p>
        </w:tc>
        <w:tc>
          <w:tcPr>
            <w:tcW w:w="2653" w:type="dxa"/>
            <w:shd w:val="clear" w:color="auto" w:fill="auto"/>
          </w:tcPr>
          <w:p w:rsidR="00170A1A" w:rsidRPr="00C85192" w:rsidRDefault="00170A1A" w:rsidP="00BF3A20">
            <w:pPr>
              <w:pStyle w:val="Htableleft"/>
              <w:rPr>
                <w:color w:val="576C88" w:themeColor="text2" w:themeTint="D9"/>
                <w:szCs w:val="18"/>
              </w:rPr>
            </w:pPr>
            <w:r w:rsidRPr="00C85192">
              <w:rPr>
                <w:color w:val="576C88" w:themeColor="text2" w:themeTint="D9"/>
                <w:szCs w:val="18"/>
              </w:rPr>
              <w:t>Qualitative data complement quantitative data on the effectiveness side; RDP monitoring data is needed if the effects of NRN interventions are used to assess the quality of project implementation.</w:t>
            </w:r>
          </w:p>
        </w:tc>
      </w:tr>
      <w:tr w:rsidR="00170A1A" w:rsidRPr="00C85192" w:rsidTr="004C05DD">
        <w:tc>
          <w:tcPr>
            <w:tcW w:w="176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Diagnostic methods (Different network and organization diagnosis methods and Social Network Analysis)</w:t>
            </w:r>
          </w:p>
        </w:tc>
        <w:tc>
          <w:tcPr>
            <w:tcW w:w="2392"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Network participants, NSU team and non-members;</w:t>
            </w:r>
          </w:p>
          <w:p w:rsidR="00170A1A" w:rsidRPr="00C85192" w:rsidRDefault="00170A1A" w:rsidP="004C05DD">
            <w:pPr>
              <w:pStyle w:val="Htableleft"/>
              <w:rPr>
                <w:color w:val="576C88" w:themeColor="text2" w:themeTint="D9"/>
                <w:szCs w:val="18"/>
              </w:rPr>
            </w:pPr>
            <w:r w:rsidRPr="00C85192">
              <w:rPr>
                <w:color w:val="576C88" w:themeColor="text2" w:themeTint="D9"/>
                <w:szCs w:val="18"/>
              </w:rPr>
              <w:t>For the SNA: relational data</w:t>
            </w:r>
          </w:p>
        </w:tc>
        <w:tc>
          <w:tcPr>
            <w:tcW w:w="2264"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Questionnaire; exploitation of written documents (statutes, rules, minutes…)</w:t>
            </w:r>
          </w:p>
        </w:tc>
        <w:tc>
          <w:tcPr>
            <w:tcW w:w="265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For the SNA: The boundary should be well considered. It has to cover most of the network, otherwise it would be unreliable.</w:t>
            </w:r>
          </w:p>
        </w:tc>
      </w:tr>
      <w:tr w:rsidR="00170A1A" w:rsidRPr="00C85192" w:rsidTr="004C05DD">
        <w:tc>
          <w:tcPr>
            <w:tcW w:w="176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Case studies</w:t>
            </w:r>
          </w:p>
        </w:tc>
        <w:tc>
          <w:tcPr>
            <w:tcW w:w="2392"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All kinds of relevant  quantitative and qualitative data</w:t>
            </w:r>
          </w:p>
        </w:tc>
        <w:tc>
          <w:tcPr>
            <w:tcW w:w="2264"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Desk research, interviews, participatory observation</w:t>
            </w:r>
          </w:p>
        </w:tc>
        <w:tc>
          <w:tcPr>
            <w:tcW w:w="2653" w:type="dxa"/>
            <w:shd w:val="clear" w:color="auto" w:fill="auto"/>
          </w:tcPr>
          <w:p w:rsidR="00170A1A" w:rsidRPr="00C85192" w:rsidRDefault="00170A1A" w:rsidP="004C05DD">
            <w:pPr>
              <w:pStyle w:val="Htableleft"/>
              <w:rPr>
                <w:color w:val="576C88" w:themeColor="text2" w:themeTint="D9"/>
                <w:szCs w:val="18"/>
              </w:rPr>
            </w:pPr>
            <w:r w:rsidRPr="00C85192">
              <w:rPr>
                <w:color w:val="576C88" w:themeColor="text2" w:themeTint="D9"/>
                <w:szCs w:val="18"/>
              </w:rPr>
              <w:t>Collection of data time-consuming; could be commissioned to a study team prior to evaluation.</w:t>
            </w:r>
          </w:p>
        </w:tc>
      </w:tr>
    </w:tbl>
    <w:p w:rsidR="00170A1A" w:rsidRPr="00C85192" w:rsidRDefault="00170A1A" w:rsidP="007046A4">
      <w:pPr>
        <w:pStyle w:val="HStandard"/>
        <w:rPr>
          <w:b/>
          <w:color w:val="ED7D31" w:themeColor="accent2"/>
        </w:rPr>
      </w:pPr>
      <w:r w:rsidRPr="00C85192">
        <w:rPr>
          <w:b/>
          <w:color w:val="ED7D31" w:themeColor="accent2"/>
        </w:rPr>
        <w:t>Step 2 - Review existing data and sources</w:t>
      </w:r>
    </w:p>
    <w:p w:rsidR="00170A1A" w:rsidRPr="00C85192" w:rsidRDefault="00170A1A" w:rsidP="00C2517E">
      <w:pPr>
        <w:pStyle w:val="HStandard"/>
      </w:pPr>
      <w:r w:rsidRPr="00C85192">
        <w:t>The evaluator will review the existing data and information and their sources for the evaluation of NRN activities including:</w:t>
      </w:r>
    </w:p>
    <w:p w:rsidR="00170A1A" w:rsidRPr="00C85192" w:rsidRDefault="00170A1A" w:rsidP="00C2517E">
      <w:pPr>
        <w:pStyle w:val="Hlistbullet2"/>
      </w:pPr>
      <w:r w:rsidRPr="00C85192">
        <w:t xml:space="preserve">NRN action plans: for types of activities and their beneficiaries </w:t>
      </w:r>
    </w:p>
    <w:p w:rsidR="00170A1A" w:rsidRPr="00C85192" w:rsidRDefault="00170A1A" w:rsidP="00C2517E">
      <w:pPr>
        <w:pStyle w:val="Hlistbullet2"/>
      </w:pPr>
      <w:r w:rsidRPr="00C85192">
        <w:t>Reports: Periodic progress reports based on monitoring data, information on the implementation of NRN action plans;</w:t>
      </w:r>
    </w:p>
    <w:p w:rsidR="00170A1A" w:rsidRPr="00C85192" w:rsidRDefault="00170A1A" w:rsidP="00C2517E">
      <w:pPr>
        <w:pStyle w:val="Hlistbullet2"/>
      </w:pPr>
      <w:r w:rsidRPr="00C85192">
        <w:t>NRN self-assessment documentation;</w:t>
      </w:r>
    </w:p>
    <w:p w:rsidR="00170A1A" w:rsidRPr="00C85192" w:rsidRDefault="00170A1A" w:rsidP="00C2517E">
      <w:pPr>
        <w:pStyle w:val="Hlistbullet2"/>
      </w:pPr>
      <w:r w:rsidRPr="00C85192">
        <w:t>Thematic studies and evaluations of programmes that may include NRN activities: for instance, the example above on innovation can be subject to a thematic evaluation and the NRN contribution would be one component of such an evaluation;</w:t>
      </w:r>
    </w:p>
    <w:p w:rsidR="00170A1A" w:rsidRPr="00C85192" w:rsidRDefault="00170A1A" w:rsidP="00C2517E">
      <w:pPr>
        <w:pStyle w:val="Hlistbullet2"/>
      </w:pPr>
      <w:r w:rsidRPr="00C85192">
        <w:t>Readers and reports from events (conferences, workshops) organised by the NRN;</w:t>
      </w:r>
    </w:p>
    <w:p w:rsidR="00170A1A" w:rsidRPr="00C85192" w:rsidRDefault="00170A1A" w:rsidP="00C2517E">
      <w:pPr>
        <w:pStyle w:val="Hlistbullet2"/>
      </w:pPr>
      <w:r w:rsidRPr="00C85192">
        <w:t>Publications (journals, newsletters, circular e-mails, press releases, web-based communication);</w:t>
      </w:r>
    </w:p>
    <w:p w:rsidR="00170A1A" w:rsidRPr="00C85192" w:rsidRDefault="00170A1A" w:rsidP="00C2517E">
      <w:pPr>
        <w:pStyle w:val="Hlistbullet2"/>
      </w:pPr>
      <w:r w:rsidRPr="00C85192">
        <w:t>Minutes of network management meetings, written regulations;</w:t>
      </w:r>
    </w:p>
    <w:p w:rsidR="00170A1A" w:rsidRPr="00C85192" w:rsidRDefault="00170A1A" w:rsidP="00C2517E">
      <w:pPr>
        <w:pStyle w:val="Hlistbullet2"/>
      </w:pPr>
      <w:r w:rsidRPr="00C85192">
        <w:t>Use of the website (visits, % new visits, user submissions, user registrations, newsletter opt-ins, support incidents raised, projects added, new consultations, social media activity, content, countries)</w:t>
      </w:r>
      <w:r w:rsidRPr="00C85192">
        <w:rPr>
          <w:rFonts w:ascii="ZWAdobeF" w:hAnsi="ZWAdobeF"/>
          <w:color w:val="auto"/>
          <w:sz w:val="2"/>
          <w:szCs w:val="2"/>
        </w:rPr>
        <w:t>1</w:t>
      </w:r>
      <w:r w:rsidRPr="008D0759">
        <w:rPr>
          <w:rStyle w:val="FootnoteReference"/>
        </w:rPr>
        <w:footnoteReference w:id="114"/>
      </w:r>
      <w:r w:rsidRPr="00C85192">
        <w:rPr>
          <w:rFonts w:ascii="ZWAdobeF" w:hAnsi="ZWAdobeF"/>
          <w:color w:val="auto"/>
          <w:sz w:val="2"/>
          <w:szCs w:val="2"/>
        </w:rPr>
        <w:t>13F</w:t>
      </w:r>
      <w:r w:rsidRPr="00C85192">
        <w:t>;</w:t>
      </w:r>
    </w:p>
    <w:p w:rsidR="00170A1A" w:rsidRPr="00C85192" w:rsidRDefault="00170A1A" w:rsidP="00C2517E">
      <w:pPr>
        <w:pStyle w:val="Hlistbullet2"/>
      </w:pPr>
      <w:r w:rsidRPr="00C85192">
        <w:lastRenderedPageBreak/>
        <w:t>Composition of the steering structure and role descriptions of stakeholders involved; and</w:t>
      </w:r>
    </w:p>
    <w:p w:rsidR="00170A1A" w:rsidRPr="00C85192" w:rsidRDefault="00170A1A" w:rsidP="00C2517E">
      <w:pPr>
        <w:pStyle w:val="Hlistbullet2"/>
      </w:pPr>
      <w:r w:rsidRPr="00C85192">
        <w:t>Budget sheets and financial monitoring data.</w:t>
      </w:r>
    </w:p>
    <w:p w:rsidR="00170A1A" w:rsidRPr="00C85192" w:rsidRDefault="00170A1A" w:rsidP="007046A4">
      <w:pPr>
        <w:pStyle w:val="HStandard"/>
        <w:rPr>
          <w:b/>
          <w:color w:val="ED7D31" w:themeColor="accent2"/>
        </w:rPr>
      </w:pPr>
      <w:r w:rsidRPr="00C85192">
        <w:rPr>
          <w:b/>
          <w:color w:val="ED7D31" w:themeColor="accent2"/>
        </w:rPr>
        <w:t>Step 3 - Decide on additional data to be collected</w:t>
      </w:r>
    </w:p>
    <w:p w:rsidR="00170A1A" w:rsidRPr="00C85192" w:rsidRDefault="00170A1A" w:rsidP="00C2517E">
      <w:pPr>
        <w:pStyle w:val="HStandard"/>
      </w:pPr>
      <w:r w:rsidRPr="00C85192">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170A1A" w:rsidRPr="00C85192" w:rsidRDefault="00170A1A" w:rsidP="00C2517E">
      <w:pPr>
        <w:pStyle w:val="HStandard"/>
      </w:pPr>
      <w:r w:rsidRPr="00C85192">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For example: </w:t>
      </w:r>
    </w:p>
    <w:p w:rsidR="00170A1A" w:rsidRPr="00C85192" w:rsidRDefault="00170A1A" w:rsidP="00C2517E">
      <w:pPr>
        <w:pStyle w:val="Hlistbullet2"/>
      </w:pPr>
      <w:r w:rsidRPr="00C85192">
        <w:t>Survey data based on personal interviews (either in the context of a standardised survey or as written notes or transcripts) including scorings (quantified qualitative information);</w:t>
      </w:r>
    </w:p>
    <w:p w:rsidR="00170A1A" w:rsidRPr="00C85192" w:rsidRDefault="00170A1A" w:rsidP="00C2517E">
      <w:pPr>
        <w:pStyle w:val="Hlistbullet2"/>
      </w:pPr>
      <w:r w:rsidRPr="00C85192">
        <w:t>Focus group records;</w:t>
      </w:r>
    </w:p>
    <w:p w:rsidR="00170A1A" w:rsidRPr="00C85192" w:rsidRDefault="00170A1A" w:rsidP="00C2517E">
      <w:pPr>
        <w:pStyle w:val="Hlistbullet2"/>
      </w:pPr>
      <w:r w:rsidRPr="00C85192">
        <w:t>RDP project monitoring data (in case the effect of the NRN interventions on projects shall be assessed);</w:t>
      </w:r>
    </w:p>
    <w:p w:rsidR="00170A1A" w:rsidRPr="00C85192" w:rsidRDefault="00170A1A" w:rsidP="00C2517E">
      <w:pPr>
        <w:pStyle w:val="Hlistbullet2"/>
      </w:pPr>
      <w:r w:rsidRPr="00C85192">
        <w:t>Social network diagrams, visualising the processed answers to socio-metric questionnaires (frequency and intensity of interactions, key roles in the network, etc.);</w:t>
      </w:r>
    </w:p>
    <w:p w:rsidR="00170A1A" w:rsidRPr="00C85192" w:rsidRDefault="00170A1A" w:rsidP="00C2517E">
      <w:pPr>
        <w:pStyle w:val="Hlistbullet2"/>
      </w:pPr>
      <w:r w:rsidRPr="00C85192">
        <w:t>Heuristic narratives (network or organisation diagnosis, picture and text analysis, stories of critical incidents, etc.);</w:t>
      </w:r>
    </w:p>
    <w:p w:rsidR="00170A1A" w:rsidRPr="00C85192" w:rsidRDefault="00170A1A" w:rsidP="00C2517E">
      <w:pPr>
        <w:pStyle w:val="Hlistbullet2"/>
      </w:pPr>
      <w:r w:rsidRPr="00C85192">
        <w:t>Pictures and videos;</w:t>
      </w:r>
    </w:p>
    <w:p w:rsidR="00170A1A" w:rsidRPr="00C85192" w:rsidRDefault="00170A1A" w:rsidP="00C2517E">
      <w:pPr>
        <w:pStyle w:val="Hlistbullet2"/>
      </w:pPr>
      <w:r w:rsidRPr="00C85192">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C2517E">
        <w:tc>
          <w:tcPr>
            <w:tcW w:w="9016" w:type="dxa"/>
            <w:shd w:val="clear" w:color="auto" w:fill="F5F4F4" w:themeFill="background2" w:themeFillTint="66"/>
          </w:tcPr>
          <w:p w:rsidR="00170A1A" w:rsidRPr="00C85192" w:rsidRDefault="00170A1A" w:rsidP="00C2517E">
            <w:pPr>
              <w:pStyle w:val="HStandard"/>
            </w:pPr>
            <w:r w:rsidRPr="00C85192">
              <w:t>Az adatgyűjtési rendszer kialakítására vonatkozó iránymutató kérdések:</w:t>
            </w:r>
          </w:p>
          <w:p w:rsidR="00170A1A" w:rsidRPr="00C85192" w:rsidRDefault="00170A1A" w:rsidP="00170A1A">
            <w:pPr>
              <w:pStyle w:val="Hlistbullet2"/>
            </w:pPr>
            <w:r w:rsidRPr="00C85192">
              <w:t>Milyen adatokra és információkra van szükségünk a kiválasztott módszer eredményessé tételéhez?</w:t>
            </w:r>
          </w:p>
          <w:p w:rsidR="00170A1A" w:rsidRPr="00C85192" w:rsidRDefault="00170A1A" w:rsidP="00170A1A">
            <w:pPr>
              <w:pStyle w:val="Hlistbullet2"/>
            </w:pPr>
            <w:r w:rsidRPr="00C85192">
              <w:t>A HTE és az irányító hatóság által biztosított adatok mennyire megbízhatók és teljesek?</w:t>
            </w:r>
          </w:p>
          <w:p w:rsidR="00170A1A" w:rsidRPr="00C85192" w:rsidRDefault="00170A1A" w:rsidP="00170A1A">
            <w:pPr>
              <w:pStyle w:val="Hlistbullet2"/>
            </w:pPr>
            <w:r w:rsidRPr="00C85192">
              <w:t>Ha az adatok nem állnak teljes egészében rendelkezésre vagy nem elég megbízhatóak, milyen lehetőségek vannak további adatok gyűjtésére vagy a módszertan kiigazítására?</w:t>
            </w:r>
          </w:p>
          <w:p w:rsidR="00170A1A" w:rsidRPr="00C85192" w:rsidRDefault="00170A1A" w:rsidP="00170A1A">
            <w:pPr>
              <w:pStyle w:val="Hlistbullet2"/>
            </w:pPr>
            <w:r w:rsidRPr="00C85192">
              <w:t>Van költséghatékony mód a szükséges adatok és információk összegyűjtésére?</w:t>
            </w:r>
          </w:p>
          <w:p w:rsidR="00170A1A" w:rsidRPr="00C85192" w:rsidRDefault="00170A1A" w:rsidP="00170A1A">
            <w:pPr>
              <w:pStyle w:val="Hlistbullet2"/>
            </w:pPr>
            <w:r w:rsidRPr="00C85192">
              <w:t>Milyen témákat lehet összehasonlító elemzéssel feltárni, és hol kell hozzávetőleges módszereket keresni a nettó hatások megbecslésére?</w:t>
            </w:r>
          </w:p>
        </w:tc>
      </w:tr>
    </w:tbl>
    <w:p w:rsidR="00170A1A" w:rsidRPr="00C85192" w:rsidRDefault="00170A1A" w:rsidP="00320BBA">
      <w:pPr>
        <w:pStyle w:val="HHeading5"/>
      </w:pPr>
      <w:r w:rsidRPr="00C85192">
        <w:t>Helyes és helytelen gyakorlatok</w:t>
      </w:r>
    </w:p>
    <w:tbl>
      <w:tblPr>
        <w:tblStyle w:val="LightList-Accent5"/>
        <w:tblW w:w="0" w:type="auto"/>
        <w:tblLook w:val="04A0" w:firstRow="1" w:lastRow="0" w:firstColumn="1" w:lastColumn="0" w:noHBand="0" w:noVBand="1"/>
      </w:tblPr>
      <w:tblGrid>
        <w:gridCol w:w="4505"/>
        <w:gridCol w:w="4501"/>
      </w:tblGrid>
      <w:tr w:rsidR="00170A1A" w:rsidRPr="00C85192"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70A1A" w:rsidRPr="00C85192" w:rsidRDefault="00170A1A" w:rsidP="000A3387">
            <w:pPr>
              <w:pStyle w:val="HHeading5"/>
              <w:jc w:val="center"/>
            </w:pPr>
            <w:r w:rsidRPr="00C85192">
              <w:rPr>
                <w:noProof/>
                <w:lang w:val="en-GB" w:eastAsia="en-GB"/>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70A1A" w:rsidRPr="00C85192" w:rsidRDefault="00170A1A" w:rsidP="000A3387">
            <w:pPr>
              <w:pStyle w:val="HHeading5"/>
              <w:jc w:val="center"/>
              <w:cnfStyle w:val="100000000000" w:firstRow="1" w:lastRow="0" w:firstColumn="0" w:lastColumn="0" w:oddVBand="0" w:evenVBand="0" w:oddHBand="0" w:evenHBand="0" w:firstRowFirstColumn="0" w:firstRowLastColumn="0" w:lastRowFirstColumn="0" w:lastRowLastColumn="0"/>
            </w:pPr>
            <w:r w:rsidRPr="00C85192">
              <w:rPr>
                <w:noProof/>
                <w:lang w:val="en-GB" w:eastAsia="en-GB"/>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Vegyes megközelítés alkalmazása több különböző típusú (minőségi és mennyiségi) adatok és információk használatával.</w:t>
            </w:r>
          </w:p>
          <w:p w:rsidR="00170A1A" w:rsidRPr="00C85192" w:rsidRDefault="00170A1A" w:rsidP="003F3078">
            <w:pPr>
              <w:pStyle w:val="HStandard"/>
              <w:rPr>
                <w:color w:val="FFC000" w:themeColor="accent4"/>
              </w:rPr>
            </w:pPr>
            <w:r w:rsidRPr="00C85192">
              <w:rPr>
                <w:b w:val="0"/>
                <w:color w:val="FFC000" w:themeColor="accent4"/>
                <w:sz w:val="18"/>
                <w:szCs w:val="18"/>
              </w:rPr>
              <w:t xml:space="preserve">Különbségtétel a (konkrét értékelési kérdésekhez és mutatókhoz kapcsolódó információk összegyűjtésére szolgáló) „fókuszált” adatgyűjtés és a „diffúz” szűrés </w:t>
            </w:r>
            <w:r w:rsidRPr="00C85192">
              <w:rPr>
                <w:b w:val="0"/>
                <w:color w:val="FFC000" w:themeColor="accent4"/>
                <w:sz w:val="18"/>
                <w:szCs w:val="18"/>
              </w:rPr>
              <w:lastRenderedPageBreak/>
              <w:t>között, hogy megismerjék a háttér fontos változásait és tendenciáit.</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lastRenderedPageBreak/>
              <w:t>A meglévő adatbázis és információk figyelmen kívül hagyása, amelynek következtében dupla energiát fordítanak az adatgyűjtésre.</w:t>
            </w:r>
          </w:p>
          <w:p w:rsidR="00170A1A" w:rsidRPr="00C85192" w:rsidRDefault="00170A1A" w:rsidP="000A3387">
            <w:pPr>
              <w:pStyle w:val="HStandard"/>
              <w:cnfStyle w:val="000000100000" w:firstRow="0" w:lastRow="0" w:firstColumn="0" w:lastColumn="0" w:oddVBand="0" w:evenVBand="0" w:oddHBand="1" w:evenHBand="0" w:firstRowFirstColumn="0" w:firstRowLastColumn="0" w:lastRowFirstColumn="0" w:lastRowLastColumn="0"/>
            </w:pPr>
            <w:r w:rsidRPr="00C85192">
              <w:rPr>
                <w:color w:val="ED7D31" w:themeColor="accent2"/>
                <w:sz w:val="18"/>
                <w:szCs w:val="18"/>
              </w:rPr>
              <w:lastRenderedPageBreak/>
              <w:t>Minden adat válogatás nélküli felhasználása az értékelési kérdésekkel és mutatókkal kapcsolatos feltételezett relevanciától függetlenül.</w:t>
            </w:r>
          </w:p>
        </w:tc>
      </w:tr>
    </w:tbl>
    <w:p w:rsidR="00170A1A" w:rsidRPr="00C85192" w:rsidRDefault="00170A1A" w:rsidP="00320BBA">
      <w:pPr>
        <w:pStyle w:val="HHeading5"/>
      </w:pPr>
      <w:r w:rsidRPr="00C85192">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70A1A" w:rsidRPr="00C85192" w:rsidTr="004C05DD">
        <w:tc>
          <w:tcPr>
            <w:tcW w:w="9918" w:type="dxa"/>
            <w:shd w:val="clear" w:color="auto" w:fill="FAF9F9" w:themeFill="background2" w:themeFillTint="33"/>
          </w:tcPr>
          <w:p w:rsidR="00170A1A" w:rsidRPr="00C85192" w:rsidRDefault="00170A1A" w:rsidP="00C2517E">
            <w:pPr>
              <w:pStyle w:val="HStandard"/>
              <w:rPr>
                <w:sz w:val="16"/>
                <w:szCs w:val="16"/>
              </w:rPr>
            </w:pPr>
            <w:r w:rsidRPr="00C85192">
              <w:rPr>
                <w:sz w:val="16"/>
                <w:szCs w:val="16"/>
              </w:rPr>
              <w:t>Guidelines: Assessment of RDP results: How to prepare for reporting on evaluation in 2017, Chapter 6.2, Evaluation Helpdesk, April 2016</w:t>
            </w:r>
          </w:p>
          <w:p w:rsidR="00170A1A" w:rsidRPr="00C85192" w:rsidRDefault="00170A1A" w:rsidP="00C2517E">
            <w:pPr>
              <w:pStyle w:val="HStandard"/>
              <w:rPr>
                <w:rStyle w:val="Hyperlink"/>
                <w:rFonts w:eastAsiaTheme="majorEastAsia"/>
                <w:color w:val="262626"/>
                <w:sz w:val="16"/>
                <w:szCs w:val="16"/>
              </w:rPr>
            </w:pPr>
            <w:r w:rsidRPr="00C85192">
              <w:rPr>
                <w:rStyle w:val="Hyperlink"/>
                <w:color w:val="262626"/>
                <w:sz w:val="16"/>
                <w:szCs w:val="16"/>
              </w:rPr>
              <w:t>On the integration of self-assessment and evaluation:</w:t>
            </w:r>
          </w:p>
          <w:p w:rsidR="00170A1A" w:rsidRPr="00C85192" w:rsidRDefault="00170A1A" w:rsidP="00C2517E">
            <w:pPr>
              <w:pStyle w:val="HStandard"/>
              <w:rPr>
                <w:rStyle w:val="Hyperlink"/>
                <w:rFonts w:eastAsiaTheme="majorEastAsia"/>
                <w:color w:val="262626"/>
                <w:sz w:val="16"/>
                <w:szCs w:val="16"/>
              </w:rPr>
            </w:pPr>
            <w:r w:rsidRPr="00C85192">
              <w:rPr>
                <w:rStyle w:val="Hyperlink"/>
                <w:color w:val="262626"/>
                <w:sz w:val="16"/>
                <w:szCs w:val="16"/>
              </w:rPr>
              <w:t>ENRD 2014: NRN Guidebook, 4</w:t>
            </w:r>
            <w:r w:rsidRPr="00C85192">
              <w:rPr>
                <w:rStyle w:val="Hyperlink"/>
                <w:color w:val="262626"/>
                <w:sz w:val="16"/>
                <w:szCs w:val="16"/>
                <w:vertAlign w:val="superscript"/>
              </w:rPr>
              <w:t xml:space="preserve">th </w:t>
            </w:r>
            <w:r w:rsidRPr="00C85192">
              <w:rPr>
                <w:rStyle w:val="Hyperlink"/>
                <w:color w:val="262626"/>
                <w:sz w:val="16"/>
                <w:szCs w:val="16"/>
              </w:rPr>
              <w:t xml:space="preserve">chapter on NRN Self-assessment and Evaluation. </w:t>
            </w:r>
            <w:hyperlink r:id="rId48" w:history="1">
              <w:r w:rsidRPr="00C85192">
                <w:rPr>
                  <w:rStyle w:val="Hyperlink"/>
                  <w:sz w:val="16"/>
                  <w:szCs w:val="16"/>
                </w:rPr>
                <w:t>http://enrd.ec.europa.eu/enrd-static/app_templates/enrd_assets/pdf/guidebook/nrn_handbook_webversion.pdf</w:t>
              </w:r>
            </w:hyperlink>
            <w:r w:rsidRPr="00C85192">
              <w:rPr>
                <w:rStyle w:val="Hyperlink"/>
                <w:color w:val="262626"/>
                <w:sz w:val="16"/>
                <w:szCs w:val="16"/>
              </w:rPr>
              <w:t xml:space="preserve"> </w:t>
            </w:r>
          </w:p>
          <w:p w:rsidR="00170A1A" w:rsidRPr="00C85192" w:rsidRDefault="00170A1A" w:rsidP="00C2517E">
            <w:pPr>
              <w:pStyle w:val="HStandard"/>
              <w:rPr>
                <w:sz w:val="16"/>
                <w:szCs w:val="16"/>
              </w:rPr>
            </w:pPr>
            <w:r w:rsidRPr="00C85192">
              <w:rPr>
                <w:sz w:val="16"/>
                <w:szCs w:val="16"/>
              </w:rPr>
              <w:t>See also the ENRD website on NRN self-assessment tools:</w:t>
            </w:r>
          </w:p>
          <w:p w:rsidR="00170A1A" w:rsidRPr="00C85192" w:rsidRDefault="00170A1A" w:rsidP="00C2517E">
            <w:pPr>
              <w:pStyle w:val="HStandard"/>
              <w:rPr>
                <w:sz w:val="16"/>
                <w:szCs w:val="16"/>
              </w:rPr>
            </w:pPr>
            <w:hyperlink r:id="rId49" w:history="1">
              <w:r w:rsidRPr="00C85192">
                <w:rPr>
                  <w:rStyle w:val="Hyperlink"/>
                  <w:sz w:val="16"/>
                  <w:szCs w:val="16"/>
                </w:rPr>
                <w:t>http://enrd.ec.europa.eu/enrd-static/networks-and-networking/nrn-self-assessment-tool-kit/practical-tools-for-nrn-self-assessment/en/practical-tools-for-nrn-self-assessment_en.html</w:t>
              </w:r>
            </w:hyperlink>
            <w:r w:rsidRPr="00C85192">
              <w:rPr>
                <w:sz w:val="16"/>
                <w:szCs w:val="16"/>
              </w:rPr>
              <w:t xml:space="preserve"> </w:t>
            </w:r>
          </w:p>
        </w:tc>
      </w:tr>
    </w:tbl>
    <w:p w:rsidR="00170A1A" w:rsidRPr="00C85192" w:rsidRDefault="00170A1A" w:rsidP="00320535">
      <w:pPr>
        <w:pStyle w:val="HHeading2"/>
      </w:pPr>
      <w:bookmarkStart w:id="186" w:name="_Toc434744520"/>
      <w:bookmarkStart w:id="187" w:name="_Toc436140062"/>
      <w:bookmarkStart w:id="188" w:name="_Toc443491685"/>
      <w:bookmarkStart w:id="189" w:name="_Toc453079769"/>
      <w:r w:rsidRPr="00C85192">
        <w:t>MEGFIGYELÉS: Bizonyítékok gyűjtése az NVH-értékeléshez</w:t>
      </w:r>
      <w:bookmarkEnd w:id="186"/>
      <w:bookmarkEnd w:id="187"/>
      <w:bookmarkEnd w:id="188"/>
      <w:bookmarkEnd w:id="189"/>
    </w:p>
    <w:p w:rsidR="00170A1A" w:rsidRPr="00C85192" w:rsidRDefault="00170A1A" w:rsidP="00C2517E">
      <w:pPr>
        <w:pStyle w:val="HStandard"/>
      </w:pPr>
      <w:r w:rsidRPr="00C85192">
        <w:t>In the observing phase the evaluators collect and aggregate all the necessary data and information identified in the previous structuring phase.</w:t>
      </w:r>
    </w:p>
    <w:p w:rsidR="00170A1A" w:rsidRPr="00C85192" w:rsidRDefault="00170A1A" w:rsidP="00C2517E">
      <w:pPr>
        <w:pStyle w:val="HStandard"/>
      </w:pPr>
      <w:r w:rsidRPr="00C85192">
        <w:t>During the observing phase the evaluators should go through the following steps (</w:t>
      </w:r>
      <w:r w:rsidRPr="00C85192">
        <w:fldChar w:fldCharType="begin" w:fldLock="1"/>
      </w:r>
      <w:r w:rsidRPr="00C85192">
        <w:instrText xml:space="preserve"> REF _Ref451784748 \r \h </w:instrText>
      </w:r>
      <w:r>
        <w:instrText xml:space="preserve"> \* MERGEFORMAT </w:instrText>
      </w:r>
      <w:r w:rsidRPr="00C85192">
        <w:fldChar w:fldCharType="separate"/>
      </w:r>
      <w:r w:rsidRPr="00C85192">
        <w:t>Figure 20</w:t>
      </w:r>
      <w:r w:rsidRPr="00C85192">
        <w:fldChar w:fldCharType="end"/>
      </w:r>
      <w:r w:rsidRPr="00C85192">
        <w:t>):</w:t>
      </w:r>
    </w:p>
    <w:p w:rsidR="00170A1A" w:rsidRPr="00C85192" w:rsidRDefault="00170A1A" w:rsidP="00C2517E">
      <w:pPr>
        <w:pStyle w:val="Hlistbullet2"/>
      </w:pPr>
      <w:r w:rsidRPr="00C85192">
        <w:t>Development and application of tools needed for the collection of quantitative and qualitative data</w:t>
      </w:r>
    </w:p>
    <w:p w:rsidR="00170A1A" w:rsidRPr="00C85192" w:rsidRDefault="00170A1A" w:rsidP="00C2517E">
      <w:pPr>
        <w:pStyle w:val="Hlistbullet2"/>
      </w:pPr>
      <w:r w:rsidRPr="00C85192">
        <w:t>Description of the process of NRN implementation</w:t>
      </w:r>
    </w:p>
    <w:p w:rsidR="00170A1A" w:rsidRPr="00C85192" w:rsidRDefault="00170A1A" w:rsidP="00C2517E">
      <w:pPr>
        <w:pStyle w:val="Hlistbullet2"/>
      </w:pPr>
      <w:r w:rsidRPr="00C85192">
        <w:t>Consistency and completeness check</w:t>
      </w:r>
    </w:p>
    <w:p w:rsidR="00170A1A" w:rsidRPr="00C85192" w:rsidRDefault="00170A1A" w:rsidP="0099477D">
      <w:pPr>
        <w:pStyle w:val="HHeadingfigures"/>
        <w:numPr>
          <w:ilvl w:val="0"/>
          <w:numId w:val="40"/>
        </w:numPr>
        <w:ind w:left="0"/>
      </w:pPr>
      <w:bookmarkStart w:id="190" w:name="_Toc436383169"/>
      <w:bookmarkStart w:id="191" w:name="_Toc436140077"/>
      <w:bookmarkStart w:id="192" w:name="_Toc451781939"/>
      <w:bookmarkStart w:id="193" w:name="_Ref451784748"/>
      <w:r w:rsidRPr="00C85192">
        <w:t>The observing phase</w:t>
      </w:r>
      <w:bookmarkEnd w:id="190"/>
      <w:bookmarkEnd w:id="191"/>
      <w:bookmarkEnd w:id="192"/>
      <w:bookmarkEnd w:id="193"/>
    </w:p>
    <w:p w:rsidR="00170A1A" w:rsidRPr="00C85192" w:rsidRDefault="00170A1A" w:rsidP="00320BBA">
      <w:pPr>
        <w:jc w:val="center"/>
      </w:pPr>
      <w:r w:rsidRPr="00C85192">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170A1A" w:rsidRPr="00C85192" w:rsidRDefault="00170A1A" w:rsidP="00320BBA">
      <w:pPr>
        <w:pStyle w:val="HSource"/>
      </w:pPr>
      <w:r w:rsidRPr="00C85192">
        <w:t>Source: European Evaluation Helpdesk for Rural Development, 2016</w:t>
      </w:r>
    </w:p>
    <w:p w:rsidR="00170A1A" w:rsidRPr="00C85192" w:rsidRDefault="00170A1A" w:rsidP="00320535">
      <w:pPr>
        <w:pStyle w:val="HHeading3"/>
      </w:pPr>
      <w:bookmarkStart w:id="194" w:name="_Toc433481235"/>
      <w:bookmarkStart w:id="195" w:name="_Toc443491686"/>
      <w:bookmarkStart w:id="196" w:name="_Toc453079770"/>
      <w:bookmarkEnd w:id="194"/>
      <w:r w:rsidRPr="00C85192">
        <w:lastRenderedPageBreak/>
        <w:t>A mennyiségi és minőségi adatok összegyűjtéséhez szükséges eszközök kidolgozása és alkalmazása</w:t>
      </w:r>
      <w:bookmarkEnd w:id="195"/>
      <w:bookmarkEnd w:id="196"/>
    </w:p>
    <w:p w:rsidR="00170A1A" w:rsidRPr="00C85192" w:rsidRDefault="00170A1A" w:rsidP="00C2517E">
      <w:pPr>
        <w:pStyle w:val="HStandard"/>
      </w:pPr>
      <w:r w:rsidRPr="00C85192">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170A1A" w:rsidRPr="00C85192" w:rsidRDefault="00170A1A" w:rsidP="00C2517E">
      <w:pPr>
        <w:pStyle w:val="HStandard"/>
      </w:pPr>
      <w:r w:rsidRPr="00C85192">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170A1A" w:rsidRPr="00C85192" w:rsidRDefault="00170A1A" w:rsidP="00C2517E">
      <w:pPr>
        <w:pStyle w:val="HStandard"/>
      </w:pPr>
      <w:r w:rsidRPr="00C85192">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sidRPr="00C85192">
        <w:rPr>
          <w:rFonts w:ascii="ZWAdobeF" w:hAnsi="ZWAdobeF"/>
          <w:color w:val="auto"/>
          <w:sz w:val="2"/>
          <w:szCs w:val="2"/>
        </w:rPr>
        <w:t>1</w:t>
      </w:r>
      <w:r w:rsidRPr="008D0759">
        <w:rPr>
          <w:rStyle w:val="FootnoteReference"/>
        </w:rPr>
        <w:footnoteReference w:id="115"/>
      </w:r>
      <w:r w:rsidRPr="00C85192">
        <w:rPr>
          <w:rFonts w:ascii="ZWAdobeF" w:hAnsi="ZWAdobeF"/>
          <w:color w:val="auto"/>
          <w:sz w:val="2"/>
          <w:szCs w:val="2"/>
        </w:rPr>
        <w:t>14F</w:t>
      </w:r>
      <w:r w:rsidRPr="00C85192">
        <w:t xml:space="preserve">. If the thematic clustering of the NRN(P) action plan is not sufficiently discernible or practicable for the evaluation, the evaluator has to design a proper partition. </w:t>
      </w:r>
    </w:p>
    <w:p w:rsidR="00170A1A" w:rsidRPr="00C85192" w:rsidRDefault="00170A1A" w:rsidP="00320BBA">
      <w:pPr>
        <w:pStyle w:val="HStandard"/>
      </w:pPr>
      <w:r w:rsidRPr="00C85192">
        <w:t xml:space="preserve">The recommended data and information collected for each group of indicators are presented in </w:t>
      </w:r>
      <w:r w:rsidRPr="00C85192">
        <w:fldChar w:fldCharType="begin" w:fldLock="1"/>
      </w:r>
      <w:r w:rsidRPr="00C85192">
        <w:instrText xml:space="preserve"> REF _Ref451785067 \r \h </w:instrText>
      </w:r>
      <w:r>
        <w:instrText xml:space="preserve"> \* MERGEFORMAT </w:instrText>
      </w:r>
      <w:r w:rsidRPr="00C85192">
        <w:fldChar w:fldCharType="separate"/>
      </w:r>
      <w:r w:rsidRPr="00C85192">
        <w:t>Table 13</w:t>
      </w:r>
      <w:r w:rsidRPr="00C85192">
        <w:fldChar w:fldCharType="end"/>
      </w:r>
      <w:r w:rsidRPr="00C85192">
        <w:t>.</w:t>
      </w:r>
    </w:p>
    <w:p w:rsidR="00170A1A" w:rsidRPr="00C85192" w:rsidRDefault="00170A1A" w:rsidP="0099477D">
      <w:pPr>
        <w:pStyle w:val="HHeadingtables"/>
        <w:numPr>
          <w:ilvl w:val="0"/>
          <w:numId w:val="39"/>
        </w:numPr>
        <w:ind w:left="284" w:hanging="218"/>
      </w:pPr>
      <w:bookmarkStart w:id="197" w:name="_Toc436140069"/>
      <w:bookmarkStart w:id="198" w:name="_Toc436383155"/>
      <w:bookmarkStart w:id="199" w:name="_Toc451781917"/>
      <w:bookmarkStart w:id="200" w:name="_Ref451785067"/>
      <w:r w:rsidRPr="00C85192">
        <w:t>táblázat: Az NVH-értékeléshez javasolt, összegyűjtendő adatok és információk</w:t>
      </w:r>
      <w:bookmarkEnd w:id="197"/>
      <w:bookmarkEnd w:id="198"/>
      <w:r w:rsidRPr="00C85192">
        <w:t xml:space="preserve"> a különböző alkalmazott módszerek szerint</w:t>
      </w:r>
      <w:bookmarkEnd w:id="199"/>
      <w:bookmarkEnd w:id="200"/>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170A1A" w:rsidRPr="00C85192" w:rsidTr="004C05DD">
        <w:tc>
          <w:tcPr>
            <w:tcW w:w="1718" w:type="dxa"/>
            <w:shd w:val="clear" w:color="auto" w:fill="E7E6E6" w:themeFill="background2"/>
            <w:vAlign w:val="center"/>
          </w:tcPr>
          <w:p w:rsidR="00170A1A" w:rsidRPr="00C85192" w:rsidRDefault="00170A1A" w:rsidP="00C2517E">
            <w:pPr>
              <w:pStyle w:val="Htableleftbolt"/>
              <w:jc w:val="center"/>
              <w:rPr>
                <w:color w:val="5B9BD5" w:themeColor="accent1"/>
              </w:rPr>
            </w:pPr>
            <w:r w:rsidRPr="00C85192">
              <w:rPr>
                <w:color w:val="5B9BD5" w:themeColor="accent1"/>
              </w:rPr>
              <w:t>Mutatók csoportjai</w:t>
            </w:r>
          </w:p>
        </w:tc>
        <w:tc>
          <w:tcPr>
            <w:tcW w:w="7359" w:type="dxa"/>
            <w:shd w:val="clear" w:color="auto" w:fill="E7E6E6" w:themeFill="background2"/>
          </w:tcPr>
          <w:p w:rsidR="00170A1A" w:rsidRPr="00C85192" w:rsidRDefault="00170A1A" w:rsidP="00C2517E">
            <w:pPr>
              <w:pStyle w:val="Htableleftbolt"/>
              <w:jc w:val="center"/>
              <w:rPr>
                <w:color w:val="5B9BD5" w:themeColor="accent1"/>
              </w:rPr>
            </w:pPr>
            <w:r w:rsidRPr="00C85192">
              <w:rPr>
                <w:color w:val="5B9BD5" w:themeColor="accent1"/>
              </w:rPr>
              <w:t>Meglévő és javasolt adat- és információgyűjtési eszközök</w:t>
            </w:r>
          </w:p>
        </w:tc>
      </w:tr>
      <w:tr w:rsidR="00170A1A" w:rsidRPr="00C85192" w:rsidTr="004C05DD">
        <w:tc>
          <w:tcPr>
            <w:tcW w:w="1718" w:type="dxa"/>
            <w:shd w:val="clear" w:color="auto" w:fill="auto"/>
            <w:vAlign w:val="center"/>
          </w:tcPr>
          <w:p w:rsidR="00170A1A" w:rsidRPr="00C85192" w:rsidRDefault="00170A1A" w:rsidP="004C05DD">
            <w:pPr>
              <w:pStyle w:val="Htableleft"/>
              <w:rPr>
                <w:color w:val="576C88" w:themeColor="text2" w:themeTint="D9"/>
              </w:rPr>
            </w:pPr>
            <w:r w:rsidRPr="00C85192">
              <w:rPr>
                <w:color w:val="576C88" w:themeColor="text2" w:themeTint="D9"/>
              </w:rPr>
              <w:t>Bemeneti mutatók</w:t>
            </w:r>
          </w:p>
        </w:tc>
        <w:tc>
          <w:tcPr>
            <w:tcW w:w="7359" w:type="dxa"/>
            <w:shd w:val="clear" w:color="auto" w:fill="auto"/>
          </w:tcPr>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 xml:space="preserve">Rendelkezésre áll: A bemeneti mutatók a VFP/NVHP pénzügyi keretösszegéhez és az NVH-tevékenységekre adott kifizetésekhez kapcsolódnak. </w:t>
            </w:r>
          </w:p>
          <w:p w:rsidR="00170A1A" w:rsidRPr="00C85192" w:rsidRDefault="00170A1A" w:rsidP="00947DF6">
            <w:pPr>
              <w:pStyle w:val="Htableleft"/>
              <w:spacing w:before="0" w:after="0" w:line="240" w:lineRule="atLeast"/>
              <w:rPr>
                <w:color w:val="576C88" w:themeColor="text2" w:themeTint="D9"/>
              </w:rPr>
            </w:pPr>
            <w:r w:rsidRPr="00C85192">
              <w:rPr>
                <w:color w:val="576C88" w:themeColor="text2" w:themeTint="D9"/>
              </w:rPr>
              <w:t>Az adatokat meglévő pénzügyi monitoringrendszerekből gyűjtik.</w:t>
            </w:r>
          </w:p>
        </w:tc>
      </w:tr>
      <w:tr w:rsidR="00170A1A" w:rsidRPr="00C85192" w:rsidTr="004C05DD">
        <w:tc>
          <w:tcPr>
            <w:tcW w:w="1718" w:type="dxa"/>
            <w:shd w:val="clear" w:color="auto" w:fill="auto"/>
            <w:vAlign w:val="center"/>
          </w:tcPr>
          <w:p w:rsidR="00170A1A" w:rsidRPr="00C85192" w:rsidRDefault="00170A1A" w:rsidP="004C05DD">
            <w:pPr>
              <w:pStyle w:val="Htableleft"/>
              <w:rPr>
                <w:color w:val="576C88" w:themeColor="text2" w:themeTint="D9"/>
              </w:rPr>
            </w:pPr>
            <w:r w:rsidRPr="00C85192">
              <w:rPr>
                <w:color w:val="576C88" w:themeColor="text2" w:themeTint="D9"/>
              </w:rPr>
              <w:t xml:space="preserve">Kimeneti mutatók </w:t>
            </w:r>
          </w:p>
        </w:tc>
        <w:tc>
          <w:tcPr>
            <w:tcW w:w="7359" w:type="dxa"/>
            <w:shd w:val="clear" w:color="auto" w:fill="auto"/>
          </w:tcPr>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Rendelkezésre áll: A monitoringrendszerből származó három közös teljesítménymutató adatai (műveleti adatbázisok).</w:t>
            </w:r>
          </w:p>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Javasolt:</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monitoringadatok típus szerinti bontásban (például tematikus terület</w:t>
            </w:r>
            <w:r>
              <w:rPr>
                <w:color w:val="576C88" w:themeColor="text2" w:themeTint="D9"/>
              </w:rPr>
              <w:t>ek szerint</w:t>
            </w:r>
            <w:r w:rsidRPr="00C85192">
              <w:rPr>
                <w:color w:val="576C88" w:themeColor="text2" w:themeTint="D9"/>
              </w:rPr>
              <w:t>, úgymint innováció, kommunikáció, környezet, erdészet stb.),</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kommunikációs eszközök típus szerint (például kiadványok, hírlevelek, rendezvények, promóciós anyagok stb.),</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EVH-tevékenységek, amelyekben az NVH részt vett, típus szerint (rendezvények, munkaértekezletek, konferenciák stb.),</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más kísérő tanulmányok keretében gyűjtött adatok és információk (monográfiák, esettanulmányok, egyetemekkel/iskolákkal való együttműködés).</w:t>
            </w:r>
          </w:p>
        </w:tc>
      </w:tr>
      <w:tr w:rsidR="00170A1A" w:rsidRPr="00C85192" w:rsidTr="004C05DD">
        <w:tc>
          <w:tcPr>
            <w:tcW w:w="1718" w:type="dxa"/>
            <w:shd w:val="clear" w:color="auto" w:fill="auto"/>
            <w:vAlign w:val="center"/>
          </w:tcPr>
          <w:p w:rsidR="00170A1A" w:rsidRPr="00C85192" w:rsidRDefault="00170A1A" w:rsidP="004C05DD">
            <w:pPr>
              <w:pStyle w:val="Htableleft"/>
              <w:rPr>
                <w:color w:val="576C88" w:themeColor="text2" w:themeTint="D9"/>
              </w:rPr>
            </w:pPr>
            <w:r w:rsidRPr="00C85192">
              <w:rPr>
                <w:color w:val="576C88" w:themeColor="text2" w:themeTint="D9"/>
              </w:rPr>
              <w:t xml:space="preserve">Eredménymutatók </w:t>
            </w:r>
          </w:p>
        </w:tc>
        <w:tc>
          <w:tcPr>
            <w:tcW w:w="7359" w:type="dxa"/>
            <w:shd w:val="clear" w:color="auto" w:fill="auto"/>
          </w:tcPr>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Esetleg rendelkezésre állnak további (közös értékelési kérdések megválaszolásához kidolgozott) eredménymutatókhoz és programspecifikus NVH</w:t>
            </w:r>
            <w:r>
              <w:rPr>
                <w:color w:val="576C88" w:themeColor="text2" w:themeTint="D9"/>
              </w:rPr>
              <w:t>-</w:t>
            </w:r>
            <w:r w:rsidRPr="00C85192">
              <w:rPr>
                <w:color w:val="576C88" w:themeColor="text2" w:themeTint="D9"/>
              </w:rPr>
              <w:t xml:space="preserve">eredménymutatókhoz, az NVH-nak az érdekeltek megváltozott viselkedéséhez kapcsolódó eredményeinek mérésére:  </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mennyiségi adatok, például az NVH tematikus munkájából eredő javaslatok alapján kialakított, helyi élelmiszerláncokhoz kapcsolódó projektek és partnerségek,</w:t>
            </w:r>
          </w:p>
          <w:p w:rsidR="00170A1A" w:rsidRPr="00C85192" w:rsidRDefault="00170A1A" w:rsidP="004C05DD">
            <w:pPr>
              <w:pStyle w:val="Htablebullet"/>
              <w:spacing w:line="240" w:lineRule="atLeast"/>
              <w:rPr>
                <w:color w:val="576C88" w:themeColor="text2" w:themeTint="D9"/>
              </w:rPr>
            </w:pPr>
            <w:r w:rsidRPr="00C85192">
              <w:rPr>
                <w:color w:val="576C88" w:themeColor="text2" w:themeTint="D9"/>
              </w:rPr>
              <w:lastRenderedPageBreak/>
              <w:t>minőségi információ, például a fő szakpolitikai kérdésekkel kapcsolatos tudatosság.</w:t>
            </w:r>
          </w:p>
          <w:p w:rsidR="00170A1A" w:rsidRPr="00C85192" w:rsidRDefault="00170A1A" w:rsidP="004C05DD">
            <w:pPr>
              <w:pStyle w:val="Htablebullet"/>
              <w:numPr>
                <w:ilvl w:val="0"/>
                <w:numId w:val="0"/>
              </w:numPr>
              <w:spacing w:before="0" w:after="0" w:line="240" w:lineRule="atLeast"/>
              <w:ind w:left="360"/>
              <w:rPr>
                <w:color w:val="576C88" w:themeColor="text2" w:themeTint="D9"/>
              </w:rPr>
            </w:pPr>
            <w:r w:rsidRPr="00C85192">
              <w:rPr>
                <w:color w:val="576C88" w:themeColor="text2" w:themeTint="D9"/>
              </w:rPr>
              <w:t xml:space="preserve">(lásd még: </w:t>
            </w:r>
            <w:r w:rsidRPr="00C85192">
              <w:rPr>
                <w:b/>
                <w:color w:val="E7E6E6" w:themeColor="background2"/>
              </w:rPr>
              <w:t>III. rész</w:t>
            </w:r>
            <w:r w:rsidRPr="00C85192">
              <w:rPr>
                <w:color w:val="576C88" w:themeColor="text2" w:themeTint="D9"/>
              </w:rPr>
              <w:t xml:space="preserve">, Példák az NVH eredmény- és hatásláncára) </w:t>
            </w:r>
          </w:p>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Javasolt:</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A mennyiségi adatok gyűjtése bevonható a monitoringrendszerbe.</w:t>
            </w:r>
          </w:p>
          <w:p w:rsidR="00170A1A" w:rsidRPr="00C85192" w:rsidRDefault="00170A1A" w:rsidP="004C05DD">
            <w:pPr>
              <w:pStyle w:val="Htablebullet"/>
              <w:spacing w:before="0" w:after="0" w:line="240" w:lineRule="atLeast"/>
              <w:rPr>
                <w:color w:val="576C88" w:themeColor="text2" w:themeTint="D9"/>
              </w:rPr>
            </w:pPr>
            <w:r>
              <w:rPr>
                <w:color w:val="576C88" w:themeColor="text2" w:themeTint="D9"/>
              </w:rPr>
              <w:t>Minőségi</w:t>
            </w:r>
            <w:r w:rsidRPr="00C85192">
              <w:rPr>
                <w:color w:val="576C88" w:themeColor="text2" w:themeTint="D9"/>
              </w:rPr>
              <w:t xml:space="preserve"> adatok eseti alapon is gyűjthetők a szakértők, az NVH-tevékenységekben részt vevők és részt nem vevők elégedettségére irányuló felmérések, mélyinterjúk, fókuszcsoportok és időszakos NVH-önértékelések révén. </w:t>
            </w:r>
          </w:p>
          <w:p w:rsidR="00170A1A" w:rsidRPr="00C85192" w:rsidRDefault="00170A1A" w:rsidP="00922106">
            <w:pPr>
              <w:pStyle w:val="Htablebullet"/>
              <w:spacing w:before="0" w:after="0" w:line="240" w:lineRule="atLeast"/>
              <w:rPr>
                <w:color w:val="576C88" w:themeColor="text2" w:themeTint="D9"/>
              </w:rPr>
            </w:pPr>
            <w:r w:rsidRPr="00C85192">
              <w:rPr>
                <w:color w:val="576C88" w:themeColor="text2" w:themeTint="D9"/>
              </w:rPr>
              <w:t>Más kísérő tanulmányok keretében gyűjtött adatok és információk (monográfiák, esettanulmányok, és egyetemekkel/iskolákkal való együttműködés).</w:t>
            </w:r>
          </w:p>
        </w:tc>
      </w:tr>
      <w:tr w:rsidR="00170A1A" w:rsidRPr="00C85192" w:rsidTr="004C05DD">
        <w:tc>
          <w:tcPr>
            <w:tcW w:w="1718" w:type="dxa"/>
            <w:shd w:val="clear" w:color="auto" w:fill="auto"/>
            <w:vAlign w:val="center"/>
          </w:tcPr>
          <w:p w:rsidR="00170A1A" w:rsidRPr="00C85192" w:rsidDel="00091BD6" w:rsidRDefault="00170A1A" w:rsidP="004C05DD">
            <w:pPr>
              <w:pStyle w:val="Htableleft"/>
              <w:rPr>
                <w:color w:val="576C88" w:themeColor="text2" w:themeTint="D9"/>
              </w:rPr>
            </w:pPr>
            <w:r w:rsidRPr="00C85192">
              <w:rPr>
                <w:color w:val="576C88" w:themeColor="text2" w:themeTint="D9"/>
              </w:rPr>
              <w:lastRenderedPageBreak/>
              <w:t>Hatásmutatók</w:t>
            </w:r>
          </w:p>
        </w:tc>
        <w:tc>
          <w:tcPr>
            <w:tcW w:w="7359" w:type="dxa"/>
            <w:shd w:val="clear" w:color="auto" w:fill="auto"/>
          </w:tcPr>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A következőkkel kapcsolatos, az NVH hatásainak mérésére szolgáló további és programspecifikus NVH-hatásmutatók:</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Az NVH hozzájárulása a VFP eredményeihez, amely természeténél fogva elsősorban mennyiségi jellegű, például az innovatív projekteken alapuló új termékek száma (főként további mutatók).</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Az NVH-k által a vidéki területeken létrehozott humán- és társadalmi tőke, amely természeténél fogva elsősorban minőségi jellegű (például a VFP-irányítás fejlődésének mértéke az NVH-tevékenységeknek köszönhetően, vagy a vidéki terület kooperációs tevékenységében az NVH-tevékenységeknek köszönhetően észlelt fejlődés foka) (elsősorban programspecifikus mutatók).</w:t>
            </w:r>
          </w:p>
          <w:p w:rsidR="00170A1A" w:rsidRPr="00C85192" w:rsidRDefault="00170A1A" w:rsidP="004C05DD">
            <w:pPr>
              <w:pStyle w:val="Htablebullet"/>
              <w:numPr>
                <w:ilvl w:val="0"/>
                <w:numId w:val="0"/>
              </w:numPr>
              <w:spacing w:before="0" w:after="0" w:line="240" w:lineRule="atLeast"/>
              <w:ind w:left="360"/>
              <w:rPr>
                <w:color w:val="576C88" w:themeColor="text2" w:themeTint="D9"/>
              </w:rPr>
            </w:pPr>
            <w:r w:rsidRPr="00C85192">
              <w:rPr>
                <w:color w:val="576C88" w:themeColor="text2" w:themeTint="D9"/>
              </w:rPr>
              <w:t xml:space="preserve">(Lásd még: </w:t>
            </w:r>
            <w:r w:rsidRPr="00C85192">
              <w:rPr>
                <w:b/>
                <w:color w:val="E7E6E6" w:themeColor="background2"/>
              </w:rPr>
              <w:t>III. rész</w:t>
            </w:r>
            <w:r w:rsidRPr="00C85192">
              <w:rPr>
                <w:color w:val="576C88" w:themeColor="text2" w:themeTint="D9"/>
              </w:rPr>
              <w:t xml:space="preserve">, Példák az NVH eredmény- és hatásláncára) </w:t>
            </w:r>
          </w:p>
          <w:p w:rsidR="00170A1A" w:rsidRPr="00C85192" w:rsidRDefault="00170A1A" w:rsidP="004C05DD">
            <w:pPr>
              <w:pStyle w:val="Htableleft"/>
              <w:spacing w:before="0" w:after="0" w:line="240" w:lineRule="atLeast"/>
              <w:rPr>
                <w:color w:val="576C88" w:themeColor="text2" w:themeTint="D9"/>
              </w:rPr>
            </w:pPr>
            <w:r w:rsidRPr="00C85192">
              <w:rPr>
                <w:color w:val="576C88" w:themeColor="text2" w:themeTint="D9"/>
              </w:rPr>
              <w:t>Javasolt:</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Az adatok és információk rögzítésének fő eszközei többek között a felmérések, az interjúk és a fókuszcsoportok. A fókuszcsoportok különösen alkalmasak az NVH nettó hatásaival kapcsolatos adatok gyűjtésére, mivel azokba egyaránt bevonhatók az NVH-tevékenységekben részt vevők és részt nem vevők.</w:t>
            </w:r>
          </w:p>
          <w:p w:rsidR="00170A1A" w:rsidRPr="00C85192" w:rsidRDefault="00170A1A" w:rsidP="004C05DD">
            <w:pPr>
              <w:pStyle w:val="Htablebullet"/>
              <w:spacing w:before="0" w:after="0" w:line="240" w:lineRule="atLeast"/>
              <w:rPr>
                <w:color w:val="576C88" w:themeColor="text2" w:themeTint="D9"/>
              </w:rPr>
            </w:pPr>
            <w:r w:rsidRPr="00C85192">
              <w:rPr>
                <w:color w:val="576C88" w:themeColor="text2" w:themeTint="D9"/>
              </w:rPr>
              <w:t>Más kísérő tanulmányok keretében gyűjtött adatok és információk (monográfiák, esettanulmányok, egyetemekkel/iskolákkal való együttműködés).</w:t>
            </w:r>
          </w:p>
        </w:tc>
      </w:tr>
    </w:tbl>
    <w:p w:rsidR="00170A1A" w:rsidRPr="00C85192" w:rsidRDefault="00170A1A" w:rsidP="000A3387">
      <w:pPr>
        <w:pStyle w:val="HStandard"/>
      </w:pPr>
      <w:r w:rsidRPr="00C85192">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01" w:name="_Toc443491687"/>
      <w:bookmarkEnd w:id="201"/>
    </w:p>
    <w:p w:rsidR="00170A1A" w:rsidRPr="00C85192" w:rsidRDefault="00170A1A" w:rsidP="00320535">
      <w:pPr>
        <w:pStyle w:val="HHeading3"/>
      </w:pPr>
      <w:bookmarkStart w:id="202" w:name="_Toc443491688"/>
      <w:bookmarkStart w:id="203" w:name="_Toc453079771"/>
      <w:r w:rsidRPr="00C85192">
        <w:t>Description of the process of NRN implementation</w:t>
      </w:r>
      <w:bookmarkEnd w:id="202"/>
      <w:bookmarkEnd w:id="203"/>
    </w:p>
    <w:p w:rsidR="00170A1A" w:rsidRPr="00C85192" w:rsidRDefault="00170A1A" w:rsidP="000A3387">
      <w:pPr>
        <w:pStyle w:val="HStandard"/>
      </w:pPr>
      <w:r w:rsidRPr="00C85192">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170A1A" w:rsidRPr="00C85192" w:rsidRDefault="00170A1A" w:rsidP="00320535">
      <w:pPr>
        <w:pStyle w:val="HHeading3"/>
      </w:pPr>
      <w:bookmarkStart w:id="204" w:name="_Toc443491689"/>
      <w:bookmarkStart w:id="205" w:name="_Toc453079772"/>
      <w:r w:rsidRPr="00C85192">
        <w:t>Consistency and completeness check</w:t>
      </w:r>
      <w:bookmarkEnd w:id="204"/>
      <w:bookmarkEnd w:id="205"/>
    </w:p>
    <w:p w:rsidR="00170A1A" w:rsidRPr="00C85192" w:rsidRDefault="00170A1A" w:rsidP="000A3387">
      <w:pPr>
        <w:pStyle w:val="HStandard"/>
      </w:pPr>
      <w:r w:rsidRPr="00C85192">
        <w:t>The collected data and information should be scrupulously checked. Key questions are:</w:t>
      </w:r>
    </w:p>
    <w:p w:rsidR="00170A1A" w:rsidRPr="00C85192" w:rsidRDefault="00170A1A" w:rsidP="000A3387">
      <w:pPr>
        <w:pStyle w:val="Hlistbullet2"/>
      </w:pPr>
      <w:bookmarkStart w:id="206" w:name="_Toc434744521"/>
      <w:r w:rsidRPr="00C85192">
        <w:t>Is the collected data sufficient to answer the evaluation questions to the extent required for the respective evaluation task (AIR 2017, AIR 2019, ex post evaluation or other, and stand-alone NRN evaluations)?</w:t>
      </w:r>
      <w:bookmarkEnd w:id="206"/>
    </w:p>
    <w:p w:rsidR="00170A1A" w:rsidRPr="00C85192" w:rsidRDefault="00170A1A" w:rsidP="000A3387">
      <w:pPr>
        <w:pStyle w:val="Hlistbullet2"/>
      </w:pPr>
      <w:bookmarkStart w:id="207" w:name="_Toc434744522"/>
      <w:r w:rsidRPr="00C85192">
        <w:lastRenderedPageBreak/>
        <w:t>Is there sufficient redundancy in the database (for data on output indicators and if developed, any data on other indicators) in order to fill possible gaps with information from other sources (= triangulation)?</w:t>
      </w:r>
      <w:bookmarkEnd w:id="207"/>
    </w:p>
    <w:p w:rsidR="00170A1A" w:rsidRPr="00C85192" w:rsidRDefault="00170A1A" w:rsidP="000A3387">
      <w:pPr>
        <w:pStyle w:val="Hlistbullet2"/>
      </w:pPr>
      <w:r w:rsidRPr="00C85192">
        <w:t>Is there sufficient qualitative data and information available given the highly intangible nature of the expected results and impacts?</w:t>
      </w:r>
    </w:p>
    <w:p w:rsidR="00170A1A" w:rsidRPr="00C85192" w:rsidRDefault="00170A1A" w:rsidP="000A3387">
      <w:pPr>
        <w:pStyle w:val="Hlistbullet2"/>
      </w:pPr>
      <w:bookmarkStart w:id="208" w:name="_Toc434744523"/>
      <w:r w:rsidRPr="00C85192">
        <w:t>Are the information sources reliable?</w:t>
      </w:r>
      <w:bookmarkEnd w:id="208"/>
    </w:p>
    <w:p w:rsidR="00170A1A" w:rsidRPr="00C85192" w:rsidRDefault="00170A1A" w:rsidP="000A3387">
      <w:pPr>
        <w:pStyle w:val="HStandard"/>
      </w:pPr>
      <w:r w:rsidRPr="00C85192">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rsidRPr="00C85192">
        <w:fldChar w:fldCharType="begin" w:fldLock="1"/>
      </w:r>
      <w:r w:rsidRPr="00C85192">
        <w:instrText xml:space="preserve"> REF _Ref440033578 \r \h </w:instrText>
      </w:r>
      <w:r>
        <w:instrText xml:space="preserve"> \* MERGEFORMAT </w:instrText>
      </w:r>
      <w:r w:rsidRPr="00C85192">
        <w:fldChar w:fldCharType="separate"/>
      </w:r>
      <w:r w:rsidRPr="00C85192">
        <w:t>Figure 21</w:t>
      </w:r>
      <w:r w:rsidRPr="00C85192">
        <w:fldChar w:fldCharType="end"/>
      </w:r>
      <w:r w:rsidRPr="00C85192">
        <w:t>. However, such loops require additional time and budget reserves to be accounted for in the overall evaluation architecture.</w:t>
      </w:r>
    </w:p>
    <w:p w:rsidR="00170A1A" w:rsidRPr="00C85192" w:rsidRDefault="00170A1A" w:rsidP="0099477D">
      <w:pPr>
        <w:pStyle w:val="HHeadingfigures"/>
        <w:numPr>
          <w:ilvl w:val="0"/>
          <w:numId w:val="40"/>
        </w:numPr>
        <w:ind w:left="0"/>
      </w:pPr>
      <w:bookmarkStart w:id="209" w:name="_Ref439933603"/>
      <w:bookmarkStart w:id="210" w:name="_Ref440033578"/>
      <w:bookmarkStart w:id="211" w:name="_Toc451781940"/>
      <w:r w:rsidRPr="00C85192">
        <w:t>A</w:t>
      </w:r>
      <w:bookmarkEnd w:id="209"/>
      <w:r w:rsidRPr="00C85192">
        <w:t>dvancing loopwise</w:t>
      </w:r>
      <w:bookmarkEnd w:id="210"/>
      <w:bookmarkEnd w:id="211"/>
    </w:p>
    <w:p w:rsidR="00170A1A" w:rsidRPr="00C85192" w:rsidRDefault="00170A1A" w:rsidP="00320BBA">
      <w:pPr>
        <w:pStyle w:val="HStandard"/>
        <w:spacing w:after="0"/>
        <w:jc w:val="center"/>
      </w:pPr>
      <w:r w:rsidRPr="00C85192">
        <w:rPr>
          <w:noProof/>
          <w:lang w:val="en-GB" w:eastAsia="en-GB"/>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170A1A" w:rsidRPr="00C85192" w:rsidRDefault="00170A1A" w:rsidP="00320BBA">
      <w:pPr>
        <w:pStyle w:val="HSource"/>
      </w:pPr>
      <w:r w:rsidRPr="00C85192">
        <w:t>Source: European Evaluation Helpdesk for Rural Development, 2016</w:t>
      </w:r>
    </w:p>
    <w:p w:rsidR="00170A1A" w:rsidRPr="00C85192" w:rsidRDefault="00170A1A" w:rsidP="000A3387">
      <w:pPr>
        <w:pStyle w:val="HStandard"/>
      </w:pPr>
      <w:r w:rsidRPr="00C85192">
        <w:t xml:space="preserve">In practice, budgetary and time restrictions will limit this flexibility throughout the whole process. The most important thing is to keep this possibility open for the first two phases (where the green double-headed arrow is set in </w:t>
      </w:r>
      <w:r w:rsidRPr="00C85192">
        <w:fldChar w:fldCharType="begin" w:fldLock="1"/>
      </w:r>
      <w:r w:rsidRPr="00C85192">
        <w:instrText xml:space="preserve"> REF _Ref440033578 \r \h </w:instrText>
      </w:r>
      <w:r>
        <w:instrText xml:space="preserve"> \* MERGEFORMAT </w:instrText>
      </w:r>
      <w:r w:rsidRPr="00C85192">
        <w:fldChar w:fldCharType="separate"/>
      </w:r>
      <w:r w:rsidRPr="00C85192">
        <w:t>Figure 21</w:t>
      </w:r>
      <w:r w:rsidRPr="00C85192">
        <w:fldChar w:fldCharType="end"/>
      </w:r>
      <w:r w:rsidRPr="00C85192">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0A3387">
        <w:tc>
          <w:tcPr>
            <w:tcW w:w="9016" w:type="dxa"/>
            <w:shd w:val="clear" w:color="auto" w:fill="F5F4F4" w:themeFill="background2" w:themeFillTint="66"/>
          </w:tcPr>
          <w:p w:rsidR="00170A1A" w:rsidRPr="00C85192" w:rsidRDefault="00170A1A" w:rsidP="000A3387">
            <w:pPr>
              <w:pStyle w:val="HStandard"/>
            </w:pPr>
            <w:r w:rsidRPr="00C85192">
              <w:t>A megfigyelési szakaszhoz használható iránymutató kérdések:</w:t>
            </w:r>
          </w:p>
          <w:p w:rsidR="00170A1A" w:rsidRPr="00C85192" w:rsidRDefault="00170A1A" w:rsidP="00170A1A">
            <w:pPr>
              <w:pStyle w:val="Hlistbullet2"/>
            </w:pPr>
            <w:r w:rsidRPr="00C85192">
              <w:t>Mely adatok állnak rendelkezésre és mely adatokat kell előállítani az értékelési folyamat során?</w:t>
            </w:r>
          </w:p>
          <w:p w:rsidR="00170A1A" w:rsidRPr="00C85192" w:rsidRDefault="00170A1A" w:rsidP="00170A1A">
            <w:pPr>
              <w:pStyle w:val="Hlistbullet2"/>
            </w:pPr>
            <w:r w:rsidRPr="00C85192">
              <w:t>Melyek a legfontosabb adatok az idő- és költségkorlát szempontjából megvalósítható adatgyűjtéshez?</w:t>
            </w:r>
          </w:p>
          <w:p w:rsidR="00170A1A" w:rsidRPr="00C85192" w:rsidRDefault="00170A1A" w:rsidP="00170A1A">
            <w:pPr>
              <w:pStyle w:val="Hlistbullet2"/>
            </w:pPr>
            <w:r w:rsidRPr="00C85192">
              <w:t xml:space="preserve">Van-e </w:t>
            </w:r>
            <w:r>
              <w:t>elegendő</w:t>
            </w:r>
            <w:r w:rsidRPr="00C85192">
              <w:t xml:space="preserve"> redundancia az adatokban, más szavakkal a fő következtetések megerősíthetők-e különböző empirikus forrásokból?</w:t>
            </w:r>
          </w:p>
          <w:p w:rsidR="00170A1A" w:rsidRPr="00C85192" w:rsidRDefault="00170A1A" w:rsidP="00170A1A">
            <w:pPr>
              <w:pStyle w:val="Hlistbullet2"/>
            </w:pPr>
            <w:r w:rsidRPr="00C85192">
              <w:t xml:space="preserve">Végrehajtották-e </w:t>
            </w:r>
            <w:r>
              <w:t xml:space="preserve">az </w:t>
            </w:r>
            <w:r w:rsidRPr="00C85192">
              <w:t>összes intézkedést</w:t>
            </w:r>
            <w:r>
              <w:t>, amelyekkel elkerülhető</w:t>
            </w:r>
            <w:r w:rsidRPr="00C85192">
              <w:t xml:space="preserve"> a megfigyelés elfogultság</w:t>
            </w:r>
            <w:r>
              <w:t>a</w:t>
            </w:r>
            <w:r w:rsidRPr="00C85192">
              <w:t xml:space="preserve"> (kiválasztási elfogultság, válaszadási elfogultság, holdudvarhatás stb.)?</w:t>
            </w:r>
          </w:p>
          <w:p w:rsidR="00170A1A" w:rsidRPr="00C85192" w:rsidRDefault="00170A1A" w:rsidP="00170A1A">
            <w:pPr>
              <w:pStyle w:val="Hlistbullet2"/>
            </w:pPr>
            <w:r w:rsidRPr="00C85192">
              <w:t>Mi lehet az oka két kölcsönösen ellentmondásos eredménynek? Elképzelhető, hogy csak az egyik következtetés igaz, vagy részben mindkettő, vagy egyik sem adja meg a valódi választ?</w:t>
            </w:r>
          </w:p>
        </w:tc>
      </w:tr>
    </w:tbl>
    <w:p w:rsidR="00170A1A" w:rsidRPr="00C85192" w:rsidRDefault="00170A1A" w:rsidP="00D35287">
      <w:pPr>
        <w:pStyle w:val="HHeading5"/>
      </w:pPr>
      <w:r w:rsidRPr="00C85192">
        <w:lastRenderedPageBreak/>
        <w:t>Helyes és helytelen gyakorlatok</w:t>
      </w:r>
    </w:p>
    <w:tbl>
      <w:tblPr>
        <w:tblStyle w:val="LightList-Accent5"/>
        <w:tblW w:w="0" w:type="auto"/>
        <w:tblLook w:val="04A0" w:firstRow="1" w:lastRow="0" w:firstColumn="1" w:lastColumn="0" w:noHBand="0" w:noVBand="1"/>
      </w:tblPr>
      <w:tblGrid>
        <w:gridCol w:w="4498"/>
        <w:gridCol w:w="4508"/>
      </w:tblGrid>
      <w:tr w:rsidR="00170A1A" w:rsidRPr="00C85192"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70A1A" w:rsidRPr="00C85192" w:rsidRDefault="00170A1A" w:rsidP="000A3387">
            <w:pPr>
              <w:pStyle w:val="HHeading5"/>
              <w:jc w:val="center"/>
            </w:pPr>
            <w:r w:rsidRPr="00C85192">
              <w:rPr>
                <w:noProof/>
                <w:lang w:val="en-GB" w:eastAsia="en-GB"/>
              </w:rPr>
              <w:drawing>
                <wp:inline distT="0" distB="0" distL="0" distR="0" wp14:anchorId="5C74E35E" wp14:editId="0B438496">
                  <wp:extent cx="360000" cy="36000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70A1A" w:rsidRPr="00C85192" w:rsidRDefault="00170A1A" w:rsidP="000A3387">
            <w:pPr>
              <w:pStyle w:val="HHeading5"/>
              <w:jc w:val="center"/>
              <w:cnfStyle w:val="100000000000" w:firstRow="1" w:lastRow="0" w:firstColumn="0" w:lastColumn="0" w:oddVBand="0" w:evenVBand="0" w:oddHBand="0" w:evenHBand="0" w:firstRowFirstColumn="0" w:firstRowLastColumn="0" w:lastRowFirstColumn="0" w:lastRowLastColumn="0"/>
            </w:pPr>
            <w:r w:rsidRPr="00C85192">
              <w:rPr>
                <w:noProof/>
                <w:lang w:val="en-GB" w:eastAsia="en-GB"/>
              </w:rPr>
              <w:drawing>
                <wp:inline distT="0" distB="0" distL="0" distR="0" wp14:anchorId="38423680" wp14:editId="5F319554">
                  <wp:extent cx="360000" cy="360000"/>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Azoknak a területeknek a meghatározása, amelyeken az összehasonlító elemzés megvalósítható, és az elemzés ennek megfelelően történő elkészítése (például kontrollcsoportok vagy legalább az alapvonal megadásán alapuló megkülönböztetési algoritmus meghatározásával).</w:t>
            </w:r>
          </w:p>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Különböző típusú (minőségi és mennyiségi, belső és külső, emic</w:t>
            </w:r>
            <w:r w:rsidRPr="00C85192">
              <w:rPr>
                <w:rFonts w:ascii="ZWAdobeF" w:hAnsi="ZWAdobeF"/>
                <w:b w:val="0"/>
                <w:color w:val="auto"/>
                <w:sz w:val="2"/>
                <w:szCs w:val="2"/>
              </w:rPr>
              <w:t>115F</w:t>
            </w:r>
            <w:r w:rsidRPr="00C85192">
              <w:rPr>
                <w:rStyle w:val="FootnoteReference"/>
              </w:rPr>
              <w:footnoteReference w:id="116"/>
            </w:r>
            <w:r w:rsidRPr="00C85192">
              <w:rPr>
                <w:b w:val="0"/>
                <w:color w:val="FFC000" w:themeColor="accent4"/>
                <w:sz w:val="18"/>
                <w:szCs w:val="18"/>
              </w:rPr>
              <w:t xml:space="preserve"> és etic</w:t>
            </w:r>
            <w:r w:rsidRPr="00C85192">
              <w:rPr>
                <w:rFonts w:ascii="ZWAdobeF" w:hAnsi="ZWAdobeF"/>
                <w:b w:val="0"/>
                <w:color w:val="auto"/>
                <w:sz w:val="2"/>
                <w:szCs w:val="2"/>
              </w:rPr>
              <w:t>116F</w:t>
            </w:r>
            <w:r w:rsidRPr="00C85192">
              <w:rPr>
                <w:rStyle w:val="FootnoteReference"/>
              </w:rPr>
              <w:footnoteReference w:id="117"/>
            </w:r>
            <w:r w:rsidRPr="00C85192">
              <w:rPr>
                <w:b w:val="0"/>
                <w:color w:val="FFC000" w:themeColor="accent4"/>
                <w:sz w:val="18"/>
                <w:szCs w:val="18"/>
              </w:rPr>
              <w:t xml:space="preserve"> típusú) információforrások felhasználása.</w:t>
            </w:r>
          </w:p>
          <w:p w:rsidR="00170A1A" w:rsidRPr="00C85192" w:rsidRDefault="00170A1A" w:rsidP="000A3387">
            <w:pPr>
              <w:pStyle w:val="HStandard"/>
              <w:spacing w:before="120" w:line="240" w:lineRule="atLeast"/>
              <w:rPr>
                <w:b w:val="0"/>
                <w:color w:val="FFC000" w:themeColor="accent4"/>
                <w:sz w:val="18"/>
                <w:szCs w:val="18"/>
              </w:rPr>
            </w:pPr>
            <w:r w:rsidRPr="00C85192">
              <w:rPr>
                <w:b w:val="0"/>
                <w:color w:val="FFC000" w:themeColor="accent4"/>
                <w:sz w:val="18"/>
                <w:szCs w:val="18"/>
              </w:rPr>
              <w:t>Az értékelési folyamat szerkezetének módosítása, ha további vizsgálatot igénylő váratlan kérdés merül fel.</w:t>
            </w:r>
          </w:p>
          <w:p w:rsidR="00170A1A" w:rsidRPr="00C85192" w:rsidRDefault="00170A1A" w:rsidP="000A3387">
            <w:pPr>
              <w:pStyle w:val="HStandard"/>
              <w:rPr>
                <w:color w:val="FFC000" w:themeColor="accent4"/>
                <w:sz w:val="18"/>
                <w:szCs w:val="18"/>
              </w:rPr>
            </w:pPr>
            <w:r w:rsidRPr="00C85192">
              <w:rPr>
                <w:b w:val="0"/>
                <w:color w:val="FFC000" w:themeColor="accent4"/>
                <w:sz w:val="18"/>
                <w:szCs w:val="18"/>
              </w:rPr>
              <w:t>Az adatok teljességének, valamint annak ellenőrzése, hogy bizonyos adatok szolgáltatása milyen mértékben mond ellent az eredményeknek. A nyilvánvaló ellentmondások hátterének feltárása.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Egyetlen információforrással való megelégedés bármely tematikus kérdésben.</w:t>
            </w:r>
          </w:p>
          <w:p w:rsidR="00170A1A" w:rsidRPr="00C85192" w:rsidRDefault="00170A1A"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 xml:space="preserve">Az NVH-tevékenységek önleírásának másolása anélkül, hogy azt ellenőriznék, valamint különbséget tennének a nagyobb, illetve kisebb mértékben releváns kérdések között.  </w:t>
            </w:r>
          </w:p>
          <w:p w:rsidR="00170A1A" w:rsidRPr="00C85192" w:rsidRDefault="00170A1A"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 xml:space="preserve">A nem megbízható adatok titokban tartása, különösen, ha tisztában vannak azok megbízhatatlanságával.  </w:t>
            </w:r>
          </w:p>
        </w:tc>
      </w:tr>
    </w:tbl>
    <w:p w:rsidR="00170A1A" w:rsidRPr="00C85192" w:rsidRDefault="00170A1A" w:rsidP="00D35287">
      <w:pPr>
        <w:pStyle w:val="HHeading5"/>
      </w:pPr>
      <w:r w:rsidRPr="00C85192">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70A1A" w:rsidRPr="00C85192" w:rsidTr="00112F30">
        <w:tc>
          <w:tcPr>
            <w:tcW w:w="9072" w:type="dxa"/>
            <w:shd w:val="clear" w:color="auto" w:fill="F5F4F4" w:themeFill="background2" w:themeFillTint="66"/>
          </w:tcPr>
          <w:p w:rsidR="00170A1A" w:rsidRPr="00C85192" w:rsidRDefault="00170A1A" w:rsidP="00112F30">
            <w:pPr>
              <w:pStyle w:val="HStandard"/>
              <w:spacing w:line="240" w:lineRule="atLeast"/>
              <w:rPr>
                <w:sz w:val="16"/>
                <w:szCs w:val="16"/>
              </w:rPr>
            </w:pPr>
            <w:r w:rsidRPr="00C85192">
              <w:rPr>
                <w:sz w:val="16"/>
                <w:szCs w:val="16"/>
              </w:rPr>
              <w:t>Concerning the assessment of impacts:</w:t>
            </w:r>
          </w:p>
          <w:p w:rsidR="00170A1A" w:rsidRPr="00C85192" w:rsidRDefault="00170A1A" w:rsidP="00112F30">
            <w:pPr>
              <w:pStyle w:val="HStandard"/>
              <w:spacing w:line="240" w:lineRule="atLeast"/>
              <w:rPr>
                <w:sz w:val="16"/>
                <w:szCs w:val="16"/>
              </w:rPr>
            </w:pPr>
            <w:r w:rsidRPr="00C85192">
              <w:rPr>
                <w:sz w:val="16"/>
                <w:szCs w:val="16"/>
              </w:rPr>
              <w:t>Working Paper of the Rural Evaluation Helpdesk (July 2010): Approaches for assessing the impacts of the Rural Development Programmes in the context of multiple intervening factors, p. 26 ff.</w:t>
            </w:r>
          </w:p>
          <w:p w:rsidR="00170A1A" w:rsidRPr="00C85192" w:rsidRDefault="00170A1A" w:rsidP="00112F30">
            <w:pPr>
              <w:pStyle w:val="HStandard"/>
              <w:spacing w:line="240" w:lineRule="atLeast"/>
              <w:rPr>
                <w:sz w:val="16"/>
                <w:szCs w:val="16"/>
              </w:rPr>
            </w:pPr>
            <w:r w:rsidRPr="00C85192">
              <w:rPr>
                <w:sz w:val="16"/>
                <w:szCs w:val="16"/>
              </w:rPr>
              <w:t>On bias in evaluation (the source is from the US Centres of Disease Control and Prevention and deals with health themes, but it is very useful for social research in general):</w:t>
            </w:r>
          </w:p>
          <w:p w:rsidR="00170A1A" w:rsidRPr="00C85192" w:rsidRDefault="00170A1A" w:rsidP="00112F30">
            <w:pPr>
              <w:pStyle w:val="HStandard"/>
              <w:spacing w:line="240" w:lineRule="atLeast"/>
              <w:rPr>
                <w:sz w:val="16"/>
                <w:szCs w:val="16"/>
              </w:rPr>
            </w:pPr>
            <w:r w:rsidRPr="00C85192">
              <w:rPr>
                <w:sz w:val="16"/>
                <w:szCs w:val="16"/>
              </w:rPr>
              <w:t xml:space="preserve">Bernard C.K.Choi and Anita W.P.Pak (Jan 2005): A Catalog of Biases in Questionnaires. </w:t>
            </w:r>
            <w:hyperlink r:id="rId52" w:history="1">
              <w:r w:rsidRPr="00C85192">
                <w:rPr>
                  <w:rStyle w:val="Hyperlink"/>
                  <w:sz w:val="16"/>
                  <w:szCs w:val="16"/>
                </w:rPr>
                <w:t>http://www.cdc.gov/pcd/issues/2005/jan/04_0050.htm</w:t>
              </w:r>
            </w:hyperlink>
            <w:r w:rsidRPr="00C85192">
              <w:rPr>
                <w:sz w:val="16"/>
                <w:szCs w:val="16"/>
              </w:rPr>
              <w:t xml:space="preserve"> </w:t>
            </w:r>
          </w:p>
        </w:tc>
      </w:tr>
    </w:tbl>
    <w:p w:rsidR="00170A1A" w:rsidRPr="00C85192" w:rsidRDefault="00170A1A" w:rsidP="00320535">
      <w:pPr>
        <w:pStyle w:val="HHeading2"/>
      </w:pPr>
      <w:bookmarkStart w:id="212" w:name="_Toc434744524"/>
      <w:bookmarkStart w:id="213" w:name="_Toc436140063"/>
      <w:bookmarkStart w:id="214" w:name="_Toc443491690"/>
      <w:bookmarkStart w:id="215" w:name="_Toc453079773"/>
      <w:r w:rsidRPr="00C85192">
        <w:t>ELEMZÉS</w:t>
      </w:r>
      <w:bookmarkEnd w:id="212"/>
      <w:bookmarkEnd w:id="213"/>
      <w:r w:rsidRPr="00C85192">
        <w:t>: A rendelkezésre álló információk vizsgálata</w:t>
      </w:r>
      <w:bookmarkEnd w:id="214"/>
      <w:bookmarkEnd w:id="215"/>
    </w:p>
    <w:p w:rsidR="00170A1A" w:rsidRDefault="00170A1A" w:rsidP="00112F30">
      <w:pPr>
        <w:pStyle w:val="HStandard"/>
      </w:pPr>
      <w:r w:rsidRPr="00C85192">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sidRPr="00F1381B">
        <w:rPr>
          <w:rStyle w:val="FootnoteReference"/>
        </w:rPr>
        <w:t xml:space="preserve"> </w:t>
      </w:r>
      <w:r w:rsidRPr="008D0759">
        <w:rPr>
          <w:rStyle w:val="FootnoteReference"/>
        </w:rPr>
        <w:footnoteReference w:id="118"/>
      </w:r>
    </w:p>
    <w:p w:rsidR="00170A1A" w:rsidRPr="00C85192" w:rsidRDefault="00170A1A" w:rsidP="00112F30">
      <w:pPr>
        <w:pStyle w:val="HStandard"/>
      </w:pPr>
      <w:r w:rsidRPr="00C85192">
        <w:t>In any case the evaluators try to answer the question: “To what extent did the change happen due to the NRN intervention?”</w:t>
      </w:r>
    </w:p>
    <w:p w:rsidR="00170A1A" w:rsidRPr="00C85192" w:rsidRDefault="00170A1A" w:rsidP="00112F30">
      <w:pPr>
        <w:pStyle w:val="HStandard"/>
      </w:pPr>
      <w:r w:rsidRPr="00C85192">
        <w:t>The evaluator’s task in the analysis of NRN effects is to establish a logical series of steps that enable the analysis of the data and information collected during the observing phase.</w:t>
      </w:r>
    </w:p>
    <w:p w:rsidR="00170A1A" w:rsidRPr="00C85192" w:rsidRDefault="00170A1A" w:rsidP="0099477D">
      <w:pPr>
        <w:pStyle w:val="HHeadingfigures"/>
        <w:numPr>
          <w:ilvl w:val="0"/>
          <w:numId w:val="40"/>
        </w:numPr>
        <w:ind w:left="0"/>
      </w:pPr>
      <w:bookmarkStart w:id="216" w:name="_Toc436383170"/>
      <w:bookmarkStart w:id="217" w:name="_Toc436140078"/>
      <w:bookmarkStart w:id="218" w:name="_Toc451781941"/>
      <w:r w:rsidRPr="00C85192">
        <w:lastRenderedPageBreak/>
        <w:t>The analysing phase</w:t>
      </w:r>
      <w:bookmarkEnd w:id="216"/>
      <w:bookmarkEnd w:id="217"/>
      <w:bookmarkEnd w:id="218"/>
    </w:p>
    <w:p w:rsidR="00170A1A" w:rsidRPr="00C85192" w:rsidRDefault="00170A1A" w:rsidP="00112F30">
      <w:pPr>
        <w:jc w:val="center"/>
      </w:pPr>
      <w:r w:rsidRPr="00C85192">
        <w:rPr>
          <w:noProof/>
          <w:lang w:eastAsia="en-GB"/>
        </w:rPr>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170A1A" w:rsidRPr="00C85192" w:rsidRDefault="00170A1A" w:rsidP="00320BBA">
      <w:pPr>
        <w:pStyle w:val="HSource"/>
      </w:pPr>
      <w:r w:rsidRPr="00C85192">
        <w:t>Source: European Evaluation Helpdesk for Rural Development, 2016</w:t>
      </w:r>
    </w:p>
    <w:p w:rsidR="00170A1A" w:rsidRPr="00C85192" w:rsidRDefault="00170A1A" w:rsidP="00320535">
      <w:pPr>
        <w:pStyle w:val="HHeading3"/>
      </w:pPr>
      <w:bookmarkStart w:id="219" w:name="_Toc433481250"/>
      <w:bookmarkStart w:id="220" w:name="_Toc433718156"/>
      <w:bookmarkStart w:id="221" w:name="_Toc434744530"/>
      <w:bookmarkStart w:id="222" w:name="_Toc443491691"/>
      <w:bookmarkStart w:id="223" w:name="_Toc453079774"/>
      <w:r w:rsidRPr="00C85192">
        <w:t>Introductory qualitative analysis and formulation of testable hypotheses</w:t>
      </w:r>
      <w:bookmarkEnd w:id="219"/>
      <w:bookmarkEnd w:id="220"/>
      <w:bookmarkEnd w:id="221"/>
      <w:bookmarkEnd w:id="222"/>
      <w:bookmarkEnd w:id="223"/>
    </w:p>
    <w:p w:rsidR="00170A1A" w:rsidRPr="00C85192" w:rsidRDefault="00170A1A" w:rsidP="00112F30">
      <w:pPr>
        <w:pStyle w:val="HStandard"/>
      </w:pPr>
      <w:r w:rsidRPr="00C85192">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170A1A" w:rsidRPr="00C85192" w:rsidRDefault="00170A1A" w:rsidP="00112F30">
      <w:pPr>
        <w:pStyle w:val="HStandard"/>
      </w:pPr>
      <w:r w:rsidRPr="00C85192">
        <w:t>The provision of stakeholders’, beneficiaries’ and associated experts’ perspectives on the NRN’s performance is valuable, particularly with regard to unintended or indirect effects.</w:t>
      </w:r>
    </w:p>
    <w:p w:rsidR="00170A1A" w:rsidRPr="00C85192" w:rsidRDefault="00170A1A" w:rsidP="00112F30">
      <w:pPr>
        <w:pStyle w:val="HStandard"/>
      </w:pPr>
      <w:r w:rsidRPr="00C85192">
        <w:t>This step will culminate in the formulation of testable hypotheses based on the single common evaluation question for NRNs and its related judgment criteria, and on the NRN-specific evaluation questions and judgment criteria.</w:t>
      </w:r>
    </w:p>
    <w:p w:rsidR="00170A1A" w:rsidRPr="00C85192" w:rsidRDefault="00170A1A" w:rsidP="00320535">
      <w:pPr>
        <w:pStyle w:val="HHeading3"/>
        <w:rPr>
          <w:rFonts w:eastAsia="Calibri"/>
        </w:rPr>
      </w:pPr>
      <w:bookmarkStart w:id="224" w:name="_Toc443491692"/>
      <w:bookmarkStart w:id="225" w:name="_Toc433481251"/>
      <w:bookmarkStart w:id="226" w:name="_Toc433718157"/>
      <w:bookmarkStart w:id="227" w:name="_Toc434744531"/>
      <w:bookmarkStart w:id="228" w:name="_Toc443491693"/>
      <w:bookmarkStart w:id="229" w:name="_Toc453079775"/>
      <w:bookmarkEnd w:id="224"/>
      <w:r w:rsidRPr="00C85192">
        <w:t>Testing and verification of hypotheses</w:t>
      </w:r>
      <w:bookmarkEnd w:id="225"/>
      <w:bookmarkEnd w:id="226"/>
      <w:bookmarkEnd w:id="227"/>
      <w:bookmarkEnd w:id="228"/>
      <w:bookmarkEnd w:id="229"/>
    </w:p>
    <w:p w:rsidR="00170A1A" w:rsidRPr="00C85192" w:rsidRDefault="00170A1A" w:rsidP="00112F30">
      <w:pPr>
        <w:pStyle w:val="HStandard"/>
        <w:rPr>
          <w:rFonts w:eastAsia="Calibri"/>
        </w:rPr>
      </w:pPr>
      <w:r w:rsidRPr="00C85192">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170A1A" w:rsidRPr="00C85192" w:rsidRDefault="00170A1A" w:rsidP="00112F30">
      <w:pPr>
        <w:pStyle w:val="HStandard"/>
        <w:rPr>
          <w:rFonts w:eastAsia="Calibri"/>
        </w:rPr>
      </w:pPr>
      <w:r w:rsidRPr="00C85192">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sidRPr="00C85192">
        <w:rPr>
          <w:rFonts w:eastAsia="Calibri"/>
        </w:rPr>
        <w:fldChar w:fldCharType="begin" w:fldLock="1"/>
      </w:r>
      <w:r w:rsidRPr="00C85192">
        <w:rPr>
          <w:rFonts w:eastAsia="Calibri"/>
        </w:rPr>
        <w:instrText xml:space="preserve"> REF _Ref451784787 \r \h </w:instrText>
      </w:r>
      <w:r>
        <w:rPr>
          <w:rFonts w:eastAsia="Calibri"/>
        </w:rPr>
        <w:instrText xml:space="preserve"> \* MERGEFORMAT </w:instrText>
      </w:r>
      <w:r w:rsidRPr="00C85192">
        <w:rPr>
          <w:rFonts w:eastAsia="Calibri"/>
        </w:rPr>
      </w:r>
      <w:r w:rsidRPr="00C85192">
        <w:rPr>
          <w:rFonts w:eastAsia="Calibri"/>
        </w:rPr>
        <w:fldChar w:fldCharType="separate"/>
      </w:r>
      <w:r w:rsidRPr="00C85192">
        <w:rPr>
          <w:rFonts w:eastAsia="Calibri"/>
        </w:rPr>
        <w:t>Figure 8</w:t>
      </w:r>
      <w:r w:rsidRPr="00C85192">
        <w:rPr>
          <w:rFonts w:eastAsia="Calibri"/>
        </w:rPr>
        <w:fldChar w:fldCharType="end"/>
      </w:r>
      <w:r w:rsidRPr="00C85192">
        <w:t xml:space="preserve"> in chapter 1.4.2).</w:t>
      </w:r>
    </w:p>
    <w:p w:rsidR="00170A1A" w:rsidRPr="00C85192" w:rsidRDefault="00170A1A" w:rsidP="00112F30">
      <w:pPr>
        <w:pStyle w:val="HStandard"/>
        <w:rPr>
          <w:rFonts w:eastAsia="Calibri"/>
        </w:rPr>
      </w:pPr>
      <w:r w:rsidRPr="00C85192">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w:t>
      </w:r>
      <w:r w:rsidRPr="00C85192">
        <w:lastRenderedPageBreak/>
        <w:t>observers and outside observers (although we know that there is no such thing as a genuinely “neutral” observation point). This can be very helpful in focus group settings, validating the preliminary evaluation outcomes.</w:t>
      </w:r>
    </w:p>
    <w:p w:rsidR="00170A1A" w:rsidRPr="00C85192" w:rsidRDefault="00170A1A" w:rsidP="00112F30">
      <w:pPr>
        <w:pStyle w:val="Heading6"/>
      </w:pPr>
      <w:r w:rsidRPr="00C85192">
        <w:t>Who is an ‘actor’?</w:t>
      </w:r>
    </w:p>
    <w:p w:rsidR="00170A1A" w:rsidRPr="00C85192" w:rsidRDefault="00170A1A" w:rsidP="00112F30">
      <w:pPr>
        <w:pStyle w:val="HStandard"/>
      </w:pPr>
      <w:r w:rsidRPr="00C85192">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170A1A" w:rsidRPr="00C85192" w:rsidRDefault="00170A1A" w:rsidP="00112F30">
      <w:pPr>
        <w:pStyle w:val="HStandard"/>
      </w:pPr>
      <w:r w:rsidRPr="00C85192">
        <w:t>The methodology of Critical Systems Heuristics may help us to make a better choice of actors (when it comes to selecting interview partners, focus group participants, etc.) for evaluation purposes.</w:t>
      </w:r>
    </w:p>
    <w:p w:rsidR="00170A1A" w:rsidRPr="00C85192" w:rsidRDefault="00170A1A" w:rsidP="00112F30">
      <w:pPr>
        <w:pStyle w:val="HStandard"/>
      </w:pPr>
      <w:r w:rsidRPr="00C85192">
        <w:t xml:space="preserve">Critical Systems Heuristics, originally developed by Werner Ulrich and Martin Reynolds, distinguishes between: </w:t>
      </w:r>
    </w:p>
    <w:p w:rsidR="00170A1A" w:rsidRPr="00C85192" w:rsidRDefault="00170A1A" w:rsidP="00112F30">
      <w:pPr>
        <w:pStyle w:val="Hlistbullet2"/>
      </w:pPr>
      <w:r w:rsidRPr="00C85192">
        <w:rPr>
          <w:b/>
        </w:rPr>
        <w:t>Clients</w:t>
      </w:r>
      <w:r w:rsidRPr="00C85192">
        <w:t xml:space="preserve"> (in our terminology ‘beneficiaries’); they are the sources of motivation for any Rural Development Programme; they stand for the purpose of RDPs/NRN(P)s.</w:t>
      </w:r>
    </w:p>
    <w:p w:rsidR="00170A1A" w:rsidRPr="00C85192" w:rsidRDefault="00170A1A" w:rsidP="00112F30">
      <w:pPr>
        <w:pStyle w:val="Hlistbullet2"/>
      </w:pPr>
      <w:r w:rsidRPr="00C85192">
        <w:rPr>
          <w:b/>
        </w:rPr>
        <w:t>Decision-makers</w:t>
      </w:r>
      <w:r w:rsidRPr="00C85192">
        <w:t xml:space="preserve"> (usually addressed as ‘stakeholders’); they are the sources of power in the design, implementation and evaluation of any Rural Development Programme; they stand for the provision of resources of RDPs/NRN(P)s.</w:t>
      </w:r>
    </w:p>
    <w:p w:rsidR="00170A1A" w:rsidRPr="00C85192" w:rsidRDefault="00170A1A" w:rsidP="00112F30">
      <w:pPr>
        <w:pStyle w:val="Hlistbullet2"/>
      </w:pPr>
      <w:r w:rsidRPr="00C85192">
        <w:rPr>
          <w:b/>
        </w:rPr>
        <w:t xml:space="preserve">Professionals </w:t>
      </w:r>
      <w:r w:rsidRPr="00C85192">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sidRPr="00C85192">
        <w:rPr>
          <w:rFonts w:ascii="ZWAdobeF" w:hAnsi="ZWAdobeF"/>
          <w:color w:val="auto"/>
          <w:sz w:val="2"/>
          <w:szCs w:val="2"/>
        </w:rPr>
        <w:t>118F</w:t>
      </w:r>
      <w:r w:rsidRPr="008D0759">
        <w:rPr>
          <w:rStyle w:val="FootnoteReference"/>
        </w:rPr>
        <w:footnoteReference w:id="119"/>
      </w:r>
      <w:r w:rsidRPr="00C85192">
        <w:t>, although they also play a role among the others.</w:t>
      </w:r>
    </w:p>
    <w:p w:rsidR="00170A1A" w:rsidRPr="00C85192" w:rsidRDefault="00170A1A" w:rsidP="00112F30">
      <w:pPr>
        <w:pStyle w:val="Hlistbullet2"/>
      </w:pPr>
      <w:r w:rsidRPr="00C85192">
        <w:rPr>
          <w:b/>
        </w:rPr>
        <w:t>Witnesses</w:t>
      </w:r>
      <w:r w:rsidRPr="00C85192">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170A1A" w:rsidRPr="00C85192" w:rsidRDefault="00170A1A" w:rsidP="00320535">
      <w:pPr>
        <w:pStyle w:val="HHeading3"/>
      </w:pPr>
      <w:bookmarkStart w:id="230" w:name="_Toc443491694"/>
      <w:bookmarkStart w:id="231" w:name="_Toc433481252"/>
      <w:bookmarkStart w:id="232" w:name="_Toc433718158"/>
      <w:bookmarkStart w:id="233" w:name="_Toc434744532"/>
      <w:bookmarkStart w:id="234" w:name="_Toc443491695"/>
      <w:bookmarkStart w:id="235" w:name="_Toc453079776"/>
      <w:bookmarkEnd w:id="230"/>
      <w:r w:rsidRPr="00C85192">
        <w:t>Identifying net results of NRN interventions</w:t>
      </w:r>
      <w:bookmarkEnd w:id="231"/>
      <w:bookmarkEnd w:id="232"/>
      <w:bookmarkEnd w:id="233"/>
      <w:bookmarkEnd w:id="234"/>
      <w:bookmarkEnd w:id="235"/>
    </w:p>
    <w:p w:rsidR="00170A1A" w:rsidRPr="00C85192" w:rsidRDefault="00170A1A" w:rsidP="00112F30">
      <w:pPr>
        <w:pStyle w:val="HStandard"/>
      </w:pPr>
      <w:r w:rsidRPr="00C85192">
        <w:t>Whenever possible, the results and impacts of NRN interventions should be expressed in net terms, which means after taking into account the effects that cannot be attributed to the NRN activities, and by taking into account indirect effects</w:t>
      </w:r>
      <w:r w:rsidRPr="00C85192">
        <w:rPr>
          <w:rFonts w:ascii="ZWAdobeF" w:hAnsi="ZWAdobeF"/>
          <w:color w:val="auto"/>
          <w:sz w:val="2"/>
          <w:szCs w:val="2"/>
        </w:rPr>
        <w:t>119F</w:t>
      </w:r>
      <w:r w:rsidRPr="008D0759">
        <w:rPr>
          <w:rStyle w:val="FootnoteReference"/>
        </w:rPr>
        <w:footnoteReference w:id="120"/>
      </w:r>
      <w:r w:rsidRPr="00C85192">
        <w:t xml:space="preserve"> (e.g. multiplier effects of activities which go beyond the group of direct and indirect NRN beneficiaries). The evaluator should specify in detail what elements have been accounted for when calculating programme net effects. </w:t>
      </w:r>
    </w:p>
    <w:p w:rsidR="00170A1A" w:rsidRPr="00C85192" w:rsidRDefault="00170A1A" w:rsidP="00112F30">
      <w:pPr>
        <w:pStyle w:val="HStandard"/>
        <w:rPr>
          <w:rFonts w:eastAsia="Calibri"/>
        </w:rPr>
      </w:pPr>
      <w:r w:rsidRPr="00C85192">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sidRPr="00C85192">
        <w:rPr>
          <w:rFonts w:ascii="ZWAdobeF" w:hAnsi="ZWAdobeF"/>
          <w:color w:val="auto"/>
          <w:sz w:val="2"/>
          <w:szCs w:val="2"/>
        </w:rPr>
        <w:t>120F</w:t>
      </w:r>
      <w:r w:rsidRPr="00F1381B">
        <w:rPr>
          <w:rFonts w:ascii="ZWAdobeF" w:eastAsia="Calibri" w:hAnsi="ZWAdobeF" w:cs="ZWAdobeF"/>
          <w:color w:val="auto"/>
          <w:sz w:val="2"/>
          <w:szCs w:val="2"/>
        </w:rPr>
        <w:t xml:space="preserve"> </w:t>
      </w:r>
      <w:r>
        <w:rPr>
          <w:rFonts w:ascii="ZWAdobeF" w:eastAsia="Calibri" w:hAnsi="ZWAdobeF" w:cs="ZWAdobeF"/>
          <w:color w:val="auto"/>
          <w:sz w:val="2"/>
          <w:szCs w:val="2"/>
        </w:rPr>
        <w:t>F</w:t>
      </w:r>
      <w:r w:rsidRPr="008D0759">
        <w:rPr>
          <w:rStyle w:val="FootnoteReference"/>
          <w:rFonts w:eastAsia="Calibri"/>
        </w:rPr>
        <w:footnoteReference w:id="121"/>
      </w:r>
      <w:r w:rsidRPr="00C85192">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112F30">
        <w:tc>
          <w:tcPr>
            <w:tcW w:w="9016" w:type="dxa"/>
            <w:shd w:val="clear" w:color="auto" w:fill="F5F4F4" w:themeFill="background2" w:themeFillTint="66"/>
          </w:tcPr>
          <w:p w:rsidR="00170A1A" w:rsidRPr="00C85192" w:rsidRDefault="00170A1A" w:rsidP="00112F30">
            <w:pPr>
              <w:pStyle w:val="HStandard"/>
            </w:pPr>
            <w:r w:rsidRPr="00C85192">
              <w:t>A elemzési szakaszhoz használható iránymutató kérdések:</w:t>
            </w:r>
          </w:p>
          <w:p w:rsidR="00170A1A" w:rsidRPr="00C85192" w:rsidRDefault="00170A1A" w:rsidP="00170A1A">
            <w:pPr>
              <w:pStyle w:val="Hlistbullet2"/>
            </w:pPr>
            <w:r w:rsidRPr="00C85192">
              <w:lastRenderedPageBreak/>
              <w:t>Hogyan lehet értékelni az NVH</w:t>
            </w:r>
            <w:r>
              <w:t>-nak</w:t>
            </w:r>
            <w:r w:rsidRPr="00C85192">
              <w:t xml:space="preserve"> a vidékfejlesztési politika célkitűzéseihez hozzájárulását?</w:t>
            </w:r>
          </w:p>
          <w:p w:rsidR="00170A1A" w:rsidRPr="00C85192" w:rsidRDefault="00170A1A" w:rsidP="00170A1A">
            <w:pPr>
              <w:pStyle w:val="Hlistbullet2"/>
            </w:pPr>
            <w:r w:rsidRPr="00C85192">
              <w:t>Hogyan vezethetők vissza a humán- és társadalmi tőkében az egyéni, szervezeti és társadalmi szinten észlelt változások az NVH-beavatkozásokra? (Például a viselkedésben, tudásban, készségekben és kapacitásban, hálózatépítési és kommunikációs képességben, a vidéki területek irányításában stb. bekövetkezett változások.)</w:t>
            </w:r>
          </w:p>
          <w:p w:rsidR="00170A1A" w:rsidRPr="00C85192" w:rsidRDefault="00170A1A" w:rsidP="00170A1A">
            <w:pPr>
              <w:pStyle w:val="Hlistbullet2"/>
            </w:pPr>
            <w:r w:rsidRPr="00C85192">
              <w:t>Melyek a fő különbségek a beavatkozási logika alapját képező változási elmélet és a helyzet valós alakulása között?</w:t>
            </w:r>
          </w:p>
          <w:p w:rsidR="00170A1A" w:rsidRPr="00C85192" w:rsidRDefault="00170A1A" w:rsidP="00170A1A">
            <w:pPr>
              <w:pStyle w:val="Hlistbullet2"/>
            </w:pPr>
            <w:r w:rsidRPr="00C85192">
              <w:t>Melyek az NVH-beavatkozások nem várt hatásai? Ezek közül melyek kívánatosak és melyek nem? Hogyan lehet ezeket észlelni és előfordulásukat megmagyarázni?</w:t>
            </w:r>
          </w:p>
        </w:tc>
      </w:tr>
    </w:tbl>
    <w:p w:rsidR="00170A1A" w:rsidRPr="00C85192" w:rsidRDefault="00170A1A" w:rsidP="00D35287">
      <w:pPr>
        <w:pStyle w:val="HHeading5"/>
      </w:pPr>
      <w:r w:rsidRPr="00C85192">
        <w:lastRenderedPageBreak/>
        <w:t xml:space="preserve">Helyes és helytelen gyakorlatok </w:t>
      </w:r>
    </w:p>
    <w:tbl>
      <w:tblPr>
        <w:tblStyle w:val="LightList-Accent5"/>
        <w:tblW w:w="0" w:type="auto"/>
        <w:tblLook w:val="04A0" w:firstRow="1" w:lastRow="0" w:firstColumn="1" w:lastColumn="0" w:noHBand="0" w:noVBand="1"/>
      </w:tblPr>
      <w:tblGrid>
        <w:gridCol w:w="4504"/>
        <w:gridCol w:w="4502"/>
      </w:tblGrid>
      <w:tr w:rsidR="00170A1A" w:rsidRPr="00C85192"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70A1A" w:rsidRPr="00C85192" w:rsidRDefault="00170A1A" w:rsidP="00445E97">
            <w:pPr>
              <w:pStyle w:val="HHeading5"/>
              <w:jc w:val="center"/>
            </w:pPr>
            <w:r w:rsidRPr="00C85192">
              <w:rPr>
                <w:noProof/>
                <w:lang w:val="en-GB" w:eastAsia="en-GB"/>
              </w:rPr>
              <w:drawing>
                <wp:inline distT="0" distB="0" distL="0" distR="0" wp14:anchorId="3D235546" wp14:editId="0F8B23F7">
                  <wp:extent cx="360000" cy="360000"/>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70A1A" w:rsidRPr="00C85192" w:rsidRDefault="00170A1A" w:rsidP="00445E97">
            <w:pPr>
              <w:pStyle w:val="HHeading5"/>
              <w:jc w:val="center"/>
              <w:cnfStyle w:val="100000000000" w:firstRow="1" w:lastRow="0" w:firstColumn="0" w:lastColumn="0" w:oddVBand="0" w:evenVBand="0" w:oddHBand="0" w:evenHBand="0" w:firstRowFirstColumn="0" w:firstRowLastColumn="0" w:lastRowFirstColumn="0" w:lastRowLastColumn="0"/>
            </w:pPr>
            <w:r w:rsidRPr="00C85192">
              <w:rPr>
                <w:noProof/>
                <w:lang w:val="en-GB" w:eastAsia="en-GB"/>
              </w:rPr>
              <w:drawing>
                <wp:inline distT="0" distB="0" distL="0" distR="0" wp14:anchorId="67EF83C9" wp14:editId="6A9F93AD">
                  <wp:extent cx="360000" cy="36000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 xml:space="preserve">A beavatkozási logika és az értékelési kérdések használata a feltevések háttereként. </w:t>
            </w:r>
          </w:p>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 xml:space="preserve">Az NVH vidékfejlesztési politikai célkitűzések teljesítéséhez való hozzájárulásának figyelembevétele. </w:t>
            </w:r>
          </w:p>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A humán- és társadalmi tőkében bekövetkezett változásokra, azaz a meghatározó partnerek viselkedésének megváltozás</w:t>
            </w:r>
            <w:r>
              <w:rPr>
                <w:b w:val="0"/>
                <w:color w:val="FFC000" w:themeColor="accent4"/>
                <w:sz w:val="18"/>
                <w:szCs w:val="18"/>
              </w:rPr>
              <w:t>ára</w:t>
            </w:r>
            <w:r w:rsidRPr="00C85192">
              <w:rPr>
                <w:b w:val="0"/>
                <w:color w:val="FFC000" w:themeColor="accent4"/>
                <w:sz w:val="18"/>
                <w:szCs w:val="18"/>
              </w:rPr>
              <w:t xml:space="preserve"> és ennek hatásaira való összpontosítás.</w:t>
            </w:r>
          </w:p>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Az összehasonlító elemzés olyan fontos eszköznek való tekintése, amely segít az észlelt változásokat visszavezetni az NVH-beavatkozásokra.</w:t>
            </w:r>
          </w:p>
          <w:p w:rsidR="00170A1A" w:rsidRPr="00C85192" w:rsidRDefault="00170A1A" w:rsidP="00445E97">
            <w:pPr>
              <w:pStyle w:val="HStandard"/>
              <w:rPr>
                <w:color w:val="FFC000" w:themeColor="accent4"/>
              </w:rPr>
            </w:pPr>
            <w:r w:rsidRPr="00C85192">
              <w:rPr>
                <w:b w:val="0"/>
                <w:color w:val="FFC000" w:themeColor="accent4"/>
                <w:sz w:val="18"/>
                <w:szCs w:val="18"/>
              </w:rPr>
              <w:t>Még ha nem is lehetséges összehasonlító elemzés végrehajtása, próbálják ahhoz közelíteni az alkalmazott megközelítést megfelelő kérdések meghatározásával, valamint az NVH eredményeinek és hatásainak kiszűrésére alkalmas több forrás használatával.</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Kizárólag a tények saját értelmezésére való támaszkodás.</w:t>
            </w:r>
          </w:p>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A megállapításokkal kapcsolatos következtetések levonása kizárólag egy módszer alapján.</w:t>
            </w:r>
          </w:p>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 xml:space="preserve">Az értékelési kérdések gépies követése az információ alapos feltárása nélkül. </w:t>
            </w:r>
          </w:p>
          <w:p w:rsidR="00170A1A" w:rsidRPr="00C85192" w:rsidRDefault="00170A1A"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sidRPr="00C85192">
              <w:rPr>
                <w:color w:val="ED7D31" w:themeColor="accent2"/>
                <w:sz w:val="18"/>
                <w:szCs w:val="18"/>
              </w:rPr>
              <w:t>Naiv előtte-utána összehasonlítás készítése anélkül, hogy egyáltalán megvitatnának más lehetséges beavatkozási tényezőket.</w:t>
            </w:r>
          </w:p>
        </w:tc>
      </w:tr>
    </w:tbl>
    <w:p w:rsidR="00170A1A" w:rsidRPr="00C85192" w:rsidRDefault="00170A1A" w:rsidP="00D35287">
      <w:pPr>
        <w:pStyle w:val="HHeading5"/>
      </w:pPr>
      <w:r w:rsidRPr="00C85192">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170A1A" w:rsidRPr="00C85192" w:rsidTr="00112F30">
        <w:tc>
          <w:tcPr>
            <w:tcW w:w="9918" w:type="dxa"/>
            <w:shd w:val="clear" w:color="auto" w:fill="F5F4F4" w:themeFill="background2" w:themeFillTint="66"/>
          </w:tcPr>
          <w:p w:rsidR="00170A1A" w:rsidRPr="00C85192" w:rsidRDefault="00170A1A" w:rsidP="00112F30">
            <w:pPr>
              <w:pStyle w:val="HStandard"/>
              <w:rPr>
                <w:sz w:val="16"/>
                <w:szCs w:val="16"/>
              </w:rPr>
            </w:pPr>
            <w:r w:rsidRPr="00C85192">
              <w:rPr>
                <w:sz w:val="16"/>
                <w:szCs w:val="16"/>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170A1A" w:rsidRPr="00C85192" w:rsidRDefault="00170A1A" w:rsidP="00112F30">
            <w:pPr>
              <w:pStyle w:val="HStandard"/>
              <w:rPr>
                <w:sz w:val="16"/>
                <w:szCs w:val="16"/>
              </w:rPr>
            </w:pPr>
            <w:r w:rsidRPr="00C85192">
              <w:rPr>
                <w:sz w:val="16"/>
                <w:szCs w:val="16"/>
              </w:rPr>
              <w:t xml:space="preserve">There is a brief description of the Critical Systems Heuristics approach on the BetterEvaluation website: </w:t>
            </w:r>
            <w:hyperlink r:id="rId54" w:history="1">
              <w:r w:rsidRPr="00C85192">
                <w:rPr>
                  <w:rStyle w:val="Hyperlink"/>
                  <w:sz w:val="16"/>
                  <w:szCs w:val="16"/>
                </w:rPr>
                <w:t>http://betterevaluation.org/plan/approach/critical_system_heuristics</w:t>
              </w:r>
            </w:hyperlink>
            <w:r w:rsidRPr="00C85192">
              <w:rPr>
                <w:sz w:val="16"/>
                <w:szCs w:val="16"/>
              </w:rPr>
              <w:t xml:space="preserve"> </w:t>
            </w:r>
          </w:p>
          <w:p w:rsidR="00170A1A" w:rsidRPr="00C85192" w:rsidRDefault="00170A1A" w:rsidP="00112F30">
            <w:pPr>
              <w:pStyle w:val="HStandard"/>
              <w:rPr>
                <w:sz w:val="16"/>
                <w:szCs w:val="16"/>
              </w:rPr>
            </w:pPr>
            <w:r w:rsidRPr="00C85192">
              <w:rPr>
                <w:sz w:val="16"/>
                <w:szCs w:val="16"/>
              </w:rPr>
              <w:t xml:space="preserve">For the basics of the CSH approach see: </w:t>
            </w:r>
            <w:r w:rsidRPr="00C85192">
              <w:rPr>
                <w:color w:val="000000"/>
                <w:sz w:val="16"/>
                <w:szCs w:val="16"/>
              </w:rPr>
              <w:t>Reynolds, M (2007). “Evaluation based on critical systems heuristics.” In Using Systems Concepts in Evaluation: An Expert Anthology, edited by Bob Williams and Iraj Imam, 101-122. Point Reyes, CA: EdgePress. Available online at: </w:t>
            </w:r>
            <w:hyperlink r:id="rId55" w:tgtFrame="_blank" w:history="1">
              <w:r w:rsidRPr="00C85192">
                <w:rPr>
                  <w:rStyle w:val="Hyperlink"/>
                  <w:sz w:val="16"/>
                  <w:szCs w:val="16"/>
                </w:rPr>
                <w:t>http://oro.open.ac.uk/3464/</w:t>
              </w:r>
            </w:hyperlink>
          </w:p>
        </w:tc>
      </w:tr>
    </w:tbl>
    <w:p w:rsidR="00170A1A" w:rsidRPr="00C85192" w:rsidRDefault="00170A1A" w:rsidP="00320535">
      <w:pPr>
        <w:pStyle w:val="HHeading2"/>
      </w:pPr>
      <w:bookmarkStart w:id="236" w:name="_Toc433481253"/>
      <w:bookmarkStart w:id="237" w:name="_Toc433718159"/>
      <w:bookmarkStart w:id="238" w:name="_Toc434744533"/>
      <w:bookmarkStart w:id="239" w:name="_Toc433481254"/>
      <w:bookmarkStart w:id="240" w:name="_Toc433718160"/>
      <w:bookmarkStart w:id="241" w:name="_Toc434744534"/>
      <w:bookmarkStart w:id="242" w:name="_Toc433481255"/>
      <w:bookmarkStart w:id="243" w:name="_Toc433718161"/>
      <w:bookmarkStart w:id="244" w:name="_Toc434744535"/>
      <w:bookmarkStart w:id="245" w:name="_Toc433481256"/>
      <w:bookmarkStart w:id="246" w:name="_Toc433718162"/>
      <w:bookmarkStart w:id="247" w:name="_Toc434744536"/>
      <w:bookmarkStart w:id="248" w:name="_Toc433481257"/>
      <w:bookmarkStart w:id="249" w:name="_Toc433718163"/>
      <w:bookmarkStart w:id="250" w:name="_Toc434744537"/>
      <w:bookmarkStart w:id="251" w:name="_Toc433481258"/>
      <w:bookmarkStart w:id="252" w:name="_Toc433718164"/>
      <w:bookmarkStart w:id="253" w:name="_Toc434744538"/>
      <w:bookmarkStart w:id="254" w:name="_Toc433481259"/>
      <w:bookmarkStart w:id="255" w:name="_Toc433718165"/>
      <w:bookmarkStart w:id="256" w:name="_Toc434744539"/>
      <w:bookmarkStart w:id="257" w:name="_Toc434744638"/>
      <w:bookmarkStart w:id="258" w:name="_Toc436140064"/>
      <w:bookmarkStart w:id="259" w:name="_Toc443491696"/>
      <w:bookmarkStart w:id="260" w:name="_Toc453079777"/>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sidRPr="00C85192">
        <w:lastRenderedPageBreak/>
        <w:t>ELBÍRÁLÁS: Az értékelési kérdések megválaszolása</w:t>
      </w:r>
      <w:bookmarkEnd w:id="257"/>
      <w:bookmarkEnd w:id="258"/>
      <w:bookmarkEnd w:id="259"/>
      <w:bookmarkEnd w:id="260"/>
    </w:p>
    <w:p w:rsidR="00170A1A" w:rsidRPr="00C85192" w:rsidRDefault="00170A1A" w:rsidP="00112F30">
      <w:pPr>
        <w:pStyle w:val="HStandard"/>
      </w:pPr>
      <w:r w:rsidRPr="00C85192">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170A1A" w:rsidRPr="00C85192" w:rsidRDefault="00170A1A" w:rsidP="00112F30">
      <w:pPr>
        <w:pStyle w:val="HStandard"/>
      </w:pPr>
      <w:r w:rsidRPr="00C85192">
        <w:t>The judgment should include a critical discussion of furthering and hindering factors. If certain activities have not delivered the expected results and impacts, an analysis of the reasons is necessary.</w:t>
      </w:r>
    </w:p>
    <w:p w:rsidR="00170A1A" w:rsidRPr="00C85192" w:rsidRDefault="00170A1A" w:rsidP="00112F30">
      <w:pPr>
        <w:pStyle w:val="HStandard"/>
      </w:pPr>
      <w:r w:rsidRPr="00C85192">
        <w:t>During this phase, evaluators have to accomplish four steps:</w:t>
      </w:r>
    </w:p>
    <w:p w:rsidR="00170A1A" w:rsidRPr="00C85192" w:rsidRDefault="00170A1A" w:rsidP="00112F30">
      <w:pPr>
        <w:pStyle w:val="Hlistbullet2"/>
      </w:pPr>
      <w:r w:rsidRPr="00C85192">
        <w:t>Judge on the effectiveness and efficiency of the NSU and NRN(P) activities and the degree to which the NRN(P) contributed to achieving rural development policy/RDP objectives and their own objectives;</w:t>
      </w:r>
    </w:p>
    <w:p w:rsidR="00170A1A" w:rsidRPr="00C85192" w:rsidRDefault="00170A1A" w:rsidP="00112F30">
      <w:pPr>
        <w:pStyle w:val="Hlistbullet2"/>
      </w:pPr>
      <w:r w:rsidRPr="00C85192">
        <w:t>Identify the factors which contributed to the success or failure in achieving the NRN’s objectives;</w:t>
      </w:r>
    </w:p>
    <w:p w:rsidR="00170A1A" w:rsidRPr="00C85192" w:rsidRDefault="00170A1A" w:rsidP="00112F30">
      <w:pPr>
        <w:pStyle w:val="Hlistbullet2"/>
      </w:pPr>
      <w:r w:rsidRPr="00C85192">
        <w:t>Answer all evaluation questions (common and NRN-specific);</w:t>
      </w:r>
    </w:p>
    <w:p w:rsidR="00170A1A" w:rsidRPr="00C85192" w:rsidRDefault="00170A1A" w:rsidP="00112F30">
      <w:pPr>
        <w:pStyle w:val="Hlistbullet2"/>
      </w:pPr>
      <w:r w:rsidRPr="00C85192">
        <w:t>Draft conclusions and recommendations based on the findings, including proposing possible adjustments necessary to improve the design, content and implementation of NRN activities.</w:t>
      </w:r>
    </w:p>
    <w:p w:rsidR="00170A1A" w:rsidRPr="00C85192" w:rsidRDefault="00170A1A" w:rsidP="0099477D">
      <w:pPr>
        <w:pStyle w:val="HHeadingfigures"/>
        <w:numPr>
          <w:ilvl w:val="0"/>
          <w:numId w:val="40"/>
        </w:numPr>
        <w:ind w:left="0"/>
      </w:pPr>
      <w:bookmarkStart w:id="261" w:name="_Toc436383171"/>
      <w:bookmarkStart w:id="262" w:name="_Toc436140079"/>
      <w:bookmarkStart w:id="263" w:name="_Toc451781942"/>
      <w:bookmarkStart w:id="264" w:name="_Ref451784802"/>
      <w:r w:rsidRPr="00C85192">
        <w:t>The judging phase</w:t>
      </w:r>
      <w:bookmarkEnd w:id="261"/>
      <w:bookmarkEnd w:id="262"/>
      <w:bookmarkEnd w:id="263"/>
      <w:bookmarkEnd w:id="264"/>
    </w:p>
    <w:p w:rsidR="00170A1A" w:rsidRPr="00C85192" w:rsidRDefault="00170A1A" w:rsidP="00C0080B">
      <w:pPr>
        <w:jc w:val="center"/>
      </w:pPr>
      <w:r w:rsidRPr="00C85192">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170A1A" w:rsidRPr="00C85192" w:rsidRDefault="00170A1A" w:rsidP="00320BBA">
      <w:pPr>
        <w:pStyle w:val="HSource"/>
      </w:pPr>
      <w:r w:rsidRPr="00C85192">
        <w:t>Source: European Evaluation Helpdesk for Rural Development, 2016</w:t>
      </w:r>
    </w:p>
    <w:p w:rsidR="00170A1A" w:rsidRPr="00C85192" w:rsidRDefault="00170A1A" w:rsidP="00112F30">
      <w:pPr>
        <w:pStyle w:val="HStandard"/>
      </w:pPr>
      <w:r w:rsidRPr="00C85192">
        <w:t>The judging phase delivers answers to:</w:t>
      </w:r>
    </w:p>
    <w:p w:rsidR="00170A1A" w:rsidRPr="00C85192" w:rsidRDefault="00170A1A" w:rsidP="00112F30">
      <w:pPr>
        <w:pStyle w:val="Hlistbullet2"/>
      </w:pPr>
      <w:r w:rsidRPr="00C85192">
        <w:t>the common evaluation question addressing the NRN’s activities: “To what extent has the national rural network contributed to achieving the objectives laid down in Regulation (EU) No 1305/2013, Art.54 (2)”?</w:t>
      </w:r>
      <w:r w:rsidRPr="00C85192">
        <w:rPr>
          <w:rFonts w:ascii="ZWAdobeF" w:hAnsi="ZWAdobeF"/>
          <w:color w:val="auto"/>
          <w:sz w:val="2"/>
          <w:szCs w:val="2"/>
        </w:rPr>
        <w:t>12</w:t>
      </w:r>
      <w:r w:rsidRPr="00F1381B">
        <w:rPr>
          <w:rFonts w:ascii="ZWAdobeF" w:hAnsi="ZWAdobeF" w:cs="ZWAdobeF"/>
          <w:color w:val="auto"/>
          <w:sz w:val="2"/>
          <w:szCs w:val="2"/>
        </w:rPr>
        <w:t xml:space="preserve"> </w:t>
      </w:r>
      <w:r>
        <w:rPr>
          <w:rFonts w:ascii="ZWAdobeF" w:hAnsi="ZWAdobeF" w:cs="ZWAdobeF"/>
          <w:color w:val="auto"/>
          <w:sz w:val="2"/>
          <w:szCs w:val="2"/>
        </w:rPr>
        <w:t>F</w:t>
      </w:r>
      <w:r w:rsidRPr="008D0759">
        <w:rPr>
          <w:rStyle w:val="FootnoteReference"/>
        </w:rPr>
        <w:footnoteReference w:id="122"/>
      </w:r>
      <w:r w:rsidRPr="00C85192">
        <w:rPr>
          <w:rFonts w:ascii="ZWAdobeF" w:hAnsi="ZWAdobeF"/>
          <w:color w:val="auto"/>
          <w:sz w:val="2"/>
          <w:szCs w:val="2"/>
        </w:rPr>
        <w:t>1F</w:t>
      </w:r>
    </w:p>
    <w:p w:rsidR="00170A1A" w:rsidRPr="00C85192" w:rsidRDefault="00170A1A" w:rsidP="00112F30">
      <w:pPr>
        <w:pStyle w:val="Hlistbullet2"/>
      </w:pPr>
      <w:r w:rsidRPr="00C85192">
        <w:lastRenderedPageBreak/>
        <w:t>NRN-related programme-specific evaluation questions formulated by the NSU and/or Managing Authority (with or without collaboration with NRN stakeholders) in the preparatory phase or by the evaluators in agreement with the NSU/MA during the structuring phase.</w:t>
      </w:r>
    </w:p>
    <w:p w:rsidR="00170A1A" w:rsidRPr="00C85192" w:rsidRDefault="00170A1A" w:rsidP="005F5B2D">
      <w:pPr>
        <w:pStyle w:val="HStandard"/>
      </w:pPr>
      <w:r w:rsidRPr="00C85192">
        <w:fldChar w:fldCharType="begin" w:fldLock="1"/>
      </w:r>
      <w:r w:rsidRPr="00C85192">
        <w:instrText xml:space="preserve"> REF _Ref451784802 \r \h </w:instrText>
      </w:r>
      <w:r>
        <w:instrText xml:space="preserve"> \* MERGEFORMAT </w:instrText>
      </w:r>
      <w:r w:rsidRPr="00C85192">
        <w:fldChar w:fldCharType="separate"/>
      </w:r>
      <w:r w:rsidRPr="00C85192">
        <w:t>Figure 23</w:t>
      </w:r>
      <w:r w:rsidRPr="00C85192">
        <w:fldChar w:fldCharType="end"/>
      </w:r>
      <w:r w:rsidRPr="00C85192">
        <w:t xml:space="preserve"> shows how the findings are clustered to answer the evaluation questions and feed into conclusions and recommendations. The inferred, i.e. aggregated findings relate to the policy objectives for the NRN.</w:t>
      </w:r>
    </w:p>
    <w:p w:rsidR="00170A1A" w:rsidRPr="00C85192" w:rsidRDefault="00170A1A">
      <w:pPr>
        <w:spacing w:after="0" w:line="240" w:lineRule="auto"/>
        <w:rPr>
          <w:rFonts w:cs="Arial"/>
          <w:color w:val="576C88" w:themeColor="text2" w:themeTint="D9"/>
          <w:sz w:val="20"/>
          <w:szCs w:val="20"/>
        </w:rPr>
      </w:pPr>
    </w:p>
    <w:p w:rsidR="00170A1A" w:rsidRPr="00C85192" w:rsidRDefault="00170A1A" w:rsidP="0099477D">
      <w:pPr>
        <w:pStyle w:val="HHeadingfigures"/>
        <w:numPr>
          <w:ilvl w:val="0"/>
          <w:numId w:val="40"/>
        </w:numPr>
        <w:ind w:left="0"/>
      </w:pPr>
      <w:bookmarkStart w:id="265" w:name="_Ref436138850"/>
      <w:bookmarkStart w:id="266" w:name="_Toc436140080"/>
      <w:bookmarkStart w:id="267" w:name="_Toc436383172"/>
      <w:bookmarkStart w:id="268" w:name="_Toc451781943"/>
      <w:r w:rsidRPr="00C85192">
        <w:t>Transparent inference ladder from findings to conclusions and recommendations</w:t>
      </w:r>
      <w:bookmarkEnd w:id="265"/>
      <w:bookmarkEnd w:id="266"/>
      <w:bookmarkEnd w:id="267"/>
      <w:bookmarkEnd w:id="268"/>
    </w:p>
    <w:p w:rsidR="00170A1A" w:rsidRPr="00C85192" w:rsidRDefault="00170A1A" w:rsidP="00320BBA">
      <w:r w:rsidRPr="00C85192">
        <w:rPr>
          <w:noProof/>
          <w:lang w:eastAsia="en-GB"/>
        </w:rPr>
        <w:drawing>
          <wp:inline distT="0" distB="0" distL="0" distR="0" wp14:anchorId="1E36E53E" wp14:editId="3B052D34">
            <wp:extent cx="5731510" cy="322643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170A1A" w:rsidRPr="00C85192" w:rsidRDefault="00170A1A" w:rsidP="00320BBA">
      <w:pPr>
        <w:pStyle w:val="HSource"/>
      </w:pPr>
      <w:r w:rsidRPr="00C85192">
        <w:t>Source: European Evaluation Helpdesk for Rural Development, 2016</w:t>
      </w:r>
    </w:p>
    <w:p w:rsidR="00170A1A" w:rsidRPr="00C85192" w:rsidRDefault="00170A1A" w:rsidP="005133B2">
      <w:pPr>
        <w:pStyle w:val="HHeading3"/>
      </w:pPr>
      <w:bookmarkStart w:id="269" w:name="_Toc433481360"/>
      <w:bookmarkStart w:id="270" w:name="_Toc443491698"/>
      <w:bookmarkStart w:id="271" w:name="_Toc453079778"/>
      <w:r w:rsidRPr="00C85192">
        <w:t>Judge on effectiveness and efficiency of the NRN, results/</w:t>
      </w:r>
      <w:bookmarkEnd w:id="269"/>
      <w:r w:rsidRPr="00C85192">
        <w:t>impacts and the degree of achievement of objectives</w:t>
      </w:r>
      <w:bookmarkEnd w:id="270"/>
      <w:bookmarkEnd w:id="271"/>
    </w:p>
    <w:p w:rsidR="00170A1A" w:rsidRPr="00C85192" w:rsidRDefault="00170A1A" w:rsidP="005F5B2D">
      <w:pPr>
        <w:pStyle w:val="HStandard"/>
      </w:pPr>
      <w:r w:rsidRPr="00C85192">
        <w:t>The various findings on the effectiveness of network activities towards NRN related policy objectives (programme, national, EU), NRN results/impacts and on the efficiency of the NRN in terms of achieving the best value for money are interpreted and judged upon.</w:t>
      </w:r>
    </w:p>
    <w:p w:rsidR="00170A1A" w:rsidRPr="00C85192" w:rsidRDefault="00170A1A" w:rsidP="005133B2">
      <w:pPr>
        <w:pStyle w:val="HHeading3"/>
      </w:pPr>
      <w:bookmarkStart w:id="272" w:name="_Toc433481362"/>
      <w:bookmarkStart w:id="273" w:name="_Toc433718265"/>
      <w:bookmarkStart w:id="274" w:name="_Toc434744639"/>
      <w:bookmarkStart w:id="275" w:name="_Toc443491699"/>
      <w:bookmarkStart w:id="276" w:name="_Toc453079779"/>
      <w:r w:rsidRPr="00C85192">
        <w:t>Identify factors of success and failure</w:t>
      </w:r>
      <w:bookmarkEnd w:id="272"/>
      <w:bookmarkEnd w:id="273"/>
      <w:bookmarkEnd w:id="274"/>
      <w:bookmarkEnd w:id="275"/>
      <w:bookmarkEnd w:id="276"/>
    </w:p>
    <w:p w:rsidR="00170A1A" w:rsidRPr="00C85192" w:rsidRDefault="00170A1A" w:rsidP="00320BBA">
      <w:pPr>
        <w:pStyle w:val="HStandard"/>
        <w:spacing w:after="0"/>
      </w:pPr>
      <w:bookmarkStart w:id="277" w:name="_Toc434744640"/>
      <w:r w:rsidRPr="00C85192">
        <w:t xml:space="preserve">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w:t>
      </w:r>
      <w:bookmarkStart w:id="278" w:name="_Toc433718266"/>
      <w:r w:rsidRPr="00C85192">
        <w:t>Now, in the judgment phase, it is the time to point out to what extent the findings confirm or contradict these assumptions, and to elicit the identified factors of success and failure</w:t>
      </w:r>
      <w:bookmarkEnd w:id="278"/>
      <w:r w:rsidRPr="00C85192">
        <w:t>: Lessons for the future.</w:t>
      </w:r>
      <w:bookmarkEnd w:id="277"/>
    </w:p>
    <w:p w:rsidR="00170A1A" w:rsidRPr="00C85192" w:rsidRDefault="00170A1A" w:rsidP="005133B2">
      <w:pPr>
        <w:pStyle w:val="HHeading3"/>
      </w:pPr>
      <w:bookmarkStart w:id="279" w:name="_Toc443491700"/>
      <w:bookmarkStart w:id="280" w:name="_Toc443491701"/>
      <w:bookmarkStart w:id="281" w:name="_Toc453079780"/>
      <w:bookmarkEnd w:id="279"/>
      <w:r w:rsidRPr="00C85192">
        <w:lastRenderedPageBreak/>
        <w:t>Answer all evaluation questions</w:t>
      </w:r>
      <w:bookmarkEnd w:id="280"/>
      <w:bookmarkEnd w:id="281"/>
    </w:p>
    <w:p w:rsidR="00170A1A" w:rsidRPr="00C85192" w:rsidRDefault="00170A1A" w:rsidP="005F5B2D">
      <w:pPr>
        <w:pStyle w:val="HStandard"/>
      </w:pPr>
      <w:r w:rsidRPr="00C85192">
        <w:t xml:space="preserve">The evaluation findings provide the basis for answering the common and programme-specific NRN-related evaluation questions. </w:t>
      </w:r>
    </w:p>
    <w:p w:rsidR="00170A1A" w:rsidRPr="00C85192" w:rsidRDefault="00170A1A" w:rsidP="005F5B2D">
      <w:pPr>
        <w:pStyle w:val="HStandard"/>
      </w:pPr>
      <w:r w:rsidRPr="00C85192">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through increasing their market participation and agricultural diversification?” can be related to the interventions of the NRN geared towards fostering innovation and increasing access to markets. </w:t>
      </w:r>
    </w:p>
    <w:p w:rsidR="00170A1A" w:rsidRPr="00C85192" w:rsidRDefault="00170A1A" w:rsidP="005F5B2D">
      <w:pPr>
        <w:pStyle w:val="HStandard"/>
      </w:pPr>
      <w:r w:rsidRPr="00C85192">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170A1A" w:rsidRPr="00C85192" w:rsidRDefault="00170A1A" w:rsidP="0099477D">
      <w:pPr>
        <w:pStyle w:val="HHeadingtables"/>
        <w:numPr>
          <w:ilvl w:val="0"/>
          <w:numId w:val="39"/>
        </w:numPr>
        <w:ind w:left="0"/>
      </w:pPr>
      <w:bookmarkStart w:id="282" w:name="_Toc451781918"/>
      <w:r w:rsidRPr="00C85192">
        <w:t>Depicting the answers to evaluation questions</w:t>
      </w:r>
      <w:bookmarkEnd w:id="28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170A1A" w:rsidRPr="00C85192" w:rsidTr="005F5B2D">
        <w:trPr>
          <w:trHeight w:val="390"/>
        </w:trPr>
        <w:tc>
          <w:tcPr>
            <w:tcW w:w="9016" w:type="dxa"/>
          </w:tcPr>
          <w:p w:rsidR="00170A1A" w:rsidRPr="00C85192" w:rsidRDefault="00170A1A" w:rsidP="004C05DD">
            <w:r w:rsidRPr="00C85192">
              <w:t>Evaluation Question</w:t>
            </w:r>
          </w:p>
        </w:tc>
      </w:tr>
      <w:tr w:rsidR="00170A1A" w:rsidRPr="00C85192" w:rsidTr="005F5B2D">
        <w:trPr>
          <w:trHeight w:val="390"/>
        </w:trPr>
        <w:tc>
          <w:tcPr>
            <w:tcW w:w="9016" w:type="dxa"/>
          </w:tcPr>
          <w:p w:rsidR="00170A1A" w:rsidRPr="00C85192" w:rsidRDefault="00170A1A" w:rsidP="004C05DD">
            <w:r w:rsidRPr="00C85192">
              <w:t>Means to answer the evaluation question, e.g. information sources, indicators used, outcomes of qualitative research, etc.</w:t>
            </w:r>
          </w:p>
        </w:tc>
      </w:tr>
      <w:tr w:rsidR="00170A1A" w:rsidRPr="00C85192" w:rsidTr="005F5B2D">
        <w:tc>
          <w:tcPr>
            <w:tcW w:w="9016" w:type="dxa"/>
          </w:tcPr>
          <w:p w:rsidR="00170A1A" w:rsidRPr="00C85192" w:rsidRDefault="00170A1A" w:rsidP="004C05DD">
            <w:r w:rsidRPr="00C85192">
              <w:t>Answer to the evaluation question</w:t>
            </w:r>
          </w:p>
        </w:tc>
      </w:tr>
    </w:tbl>
    <w:p w:rsidR="00170A1A" w:rsidRPr="00C85192" w:rsidRDefault="00170A1A" w:rsidP="005F5B2D">
      <w:pPr>
        <w:pStyle w:val="HStandard"/>
      </w:pPr>
      <w:bookmarkStart w:id="283" w:name="_Toc433481363"/>
      <w:bookmarkStart w:id="284" w:name="_Toc433718267"/>
      <w:bookmarkStart w:id="285" w:name="_Toc434744641"/>
      <w:bookmarkStart w:id="286" w:name="_Toc443491703"/>
      <w:r w:rsidRPr="00C85192">
        <w:t>In the AIRs 2017 and 2019, the MA will use the SFC template to answer each evaluation question, in a similar structure as the table above.</w:t>
      </w:r>
    </w:p>
    <w:p w:rsidR="00170A1A" w:rsidRPr="00C85192" w:rsidRDefault="00170A1A" w:rsidP="005133B2">
      <w:pPr>
        <w:pStyle w:val="HHeading3"/>
      </w:pPr>
      <w:bookmarkStart w:id="287" w:name="_Toc453079781"/>
      <w:r w:rsidRPr="00C85192">
        <w:t>Draft conclusions and recommendations</w:t>
      </w:r>
      <w:bookmarkEnd w:id="283"/>
      <w:bookmarkEnd w:id="284"/>
      <w:bookmarkEnd w:id="285"/>
      <w:bookmarkEnd w:id="286"/>
      <w:bookmarkEnd w:id="287"/>
    </w:p>
    <w:p w:rsidR="00170A1A" w:rsidRPr="00C85192" w:rsidRDefault="00170A1A" w:rsidP="005F5B2D">
      <w:pPr>
        <w:pStyle w:val="HStandard"/>
      </w:pPr>
      <w:r w:rsidRPr="00C85192">
        <w:t xml:space="preserve">The findings and answers to the evaluation questions constitute the basis for the conclusions which lead to recommendations to the MA, NSU and other NRN stakeholders to improve the NRN activities and overall performance.  </w:t>
      </w:r>
    </w:p>
    <w:p w:rsidR="00170A1A" w:rsidRPr="00C85192" w:rsidRDefault="00170A1A" w:rsidP="005F5B2D">
      <w:pPr>
        <w:pStyle w:val="HStandard"/>
      </w:pPr>
      <w:r w:rsidRPr="00C85192">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rsidRPr="00C85192">
        <w:fldChar w:fldCharType="begin" w:fldLock="1"/>
      </w:r>
      <w:r w:rsidRPr="00C85192">
        <w:instrText xml:space="preserve"> REF _Ref451785094 \r \h </w:instrText>
      </w:r>
      <w:r>
        <w:instrText xml:space="preserve"> \* MERGEFORMAT </w:instrText>
      </w:r>
      <w:r w:rsidRPr="00C85192">
        <w:fldChar w:fldCharType="separate"/>
      </w:r>
      <w:r w:rsidRPr="00C85192">
        <w:t>Table 15</w:t>
      </w:r>
      <w:r w:rsidRPr="00C85192">
        <w:fldChar w:fldCharType="end"/>
      </w:r>
      <w:r w:rsidRPr="00C85192">
        <w:t>).</w:t>
      </w:r>
    </w:p>
    <w:p w:rsidR="00170A1A" w:rsidRPr="00C85192" w:rsidRDefault="00170A1A" w:rsidP="0099477D">
      <w:pPr>
        <w:pStyle w:val="HHeadingtables"/>
        <w:numPr>
          <w:ilvl w:val="0"/>
          <w:numId w:val="39"/>
        </w:numPr>
        <w:ind w:left="0"/>
      </w:pPr>
      <w:bookmarkStart w:id="288" w:name="_Toc436140070"/>
      <w:bookmarkStart w:id="289" w:name="_Toc436383156"/>
      <w:bookmarkStart w:id="290" w:name="_Ref440055456"/>
      <w:bookmarkStart w:id="291" w:name="_Toc451781919"/>
      <w:bookmarkStart w:id="292" w:name="_Ref451785094"/>
      <w:r w:rsidRPr="00C85192">
        <w:t>Proposed structure for summarising findings, conclusions and recommendations consistently</w:t>
      </w:r>
      <w:bookmarkEnd w:id="288"/>
      <w:bookmarkEnd w:id="289"/>
      <w:bookmarkEnd w:id="290"/>
      <w:bookmarkEnd w:id="291"/>
      <w:bookmarkEnd w:id="292"/>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170A1A" w:rsidRPr="00C85192" w:rsidTr="004C05DD">
        <w:tc>
          <w:tcPr>
            <w:tcW w:w="2252" w:type="dxa"/>
            <w:shd w:val="clear" w:color="auto" w:fill="E7E6E6" w:themeFill="background2"/>
          </w:tcPr>
          <w:p w:rsidR="00170A1A" w:rsidRPr="00C85192" w:rsidRDefault="00170A1A" w:rsidP="005F5B2D">
            <w:pPr>
              <w:pStyle w:val="Htableleftbolt"/>
              <w:jc w:val="center"/>
              <w:rPr>
                <w:color w:val="5B9BD5" w:themeColor="accent1"/>
              </w:rPr>
            </w:pPr>
            <w:r w:rsidRPr="00C85192">
              <w:rPr>
                <w:color w:val="5B9BD5" w:themeColor="accent1"/>
              </w:rPr>
              <w:t>Major evaluation finding</w:t>
            </w:r>
          </w:p>
        </w:tc>
        <w:tc>
          <w:tcPr>
            <w:tcW w:w="2421" w:type="dxa"/>
            <w:shd w:val="clear" w:color="auto" w:fill="E7E6E6" w:themeFill="background2"/>
          </w:tcPr>
          <w:p w:rsidR="00170A1A" w:rsidRPr="00C85192" w:rsidRDefault="00170A1A" w:rsidP="005F5B2D">
            <w:pPr>
              <w:pStyle w:val="Htableleftbolt"/>
              <w:jc w:val="center"/>
              <w:rPr>
                <w:color w:val="5B9BD5" w:themeColor="accent1"/>
              </w:rPr>
            </w:pPr>
            <w:r w:rsidRPr="00C85192">
              <w:rPr>
                <w:color w:val="5B9BD5" w:themeColor="accent1"/>
              </w:rPr>
              <w:t>Answer to relevant evaluation question</w:t>
            </w:r>
          </w:p>
        </w:tc>
        <w:tc>
          <w:tcPr>
            <w:tcW w:w="2083" w:type="dxa"/>
            <w:shd w:val="clear" w:color="auto" w:fill="E7E6E6" w:themeFill="background2"/>
          </w:tcPr>
          <w:p w:rsidR="00170A1A" w:rsidRPr="00C85192" w:rsidRDefault="00170A1A" w:rsidP="005F5B2D">
            <w:pPr>
              <w:pStyle w:val="Htableleftbolt"/>
              <w:jc w:val="center"/>
              <w:rPr>
                <w:color w:val="5B9BD5" w:themeColor="accent1"/>
              </w:rPr>
            </w:pPr>
            <w:r w:rsidRPr="00C85192">
              <w:rPr>
                <w:color w:val="5B9BD5" w:themeColor="accent1"/>
              </w:rPr>
              <w:t>Conclusion</w:t>
            </w:r>
          </w:p>
        </w:tc>
        <w:tc>
          <w:tcPr>
            <w:tcW w:w="2878" w:type="dxa"/>
            <w:shd w:val="clear" w:color="auto" w:fill="E7E6E6" w:themeFill="background2"/>
          </w:tcPr>
          <w:p w:rsidR="00170A1A" w:rsidRPr="00C85192" w:rsidRDefault="00170A1A" w:rsidP="005F5B2D">
            <w:pPr>
              <w:pStyle w:val="Htableleftbolt"/>
              <w:jc w:val="center"/>
              <w:rPr>
                <w:color w:val="5B9BD5" w:themeColor="accent1"/>
              </w:rPr>
            </w:pPr>
            <w:r w:rsidRPr="00C85192">
              <w:rPr>
                <w:color w:val="5B9BD5" w:themeColor="accent1"/>
              </w:rPr>
              <w:t>Recommendation for future NRNs</w:t>
            </w:r>
          </w:p>
        </w:tc>
      </w:tr>
      <w:tr w:rsidR="00170A1A" w:rsidRPr="00C85192" w:rsidTr="004C05DD">
        <w:tc>
          <w:tcPr>
            <w:tcW w:w="2252" w:type="dxa"/>
            <w:shd w:val="clear" w:color="auto" w:fill="auto"/>
          </w:tcPr>
          <w:p w:rsidR="00170A1A" w:rsidRPr="00C85192" w:rsidRDefault="00170A1A" w:rsidP="004C05DD">
            <w:pPr>
              <w:pStyle w:val="Htableleft"/>
              <w:rPr>
                <w:color w:val="576C88" w:themeColor="text2" w:themeTint="D9"/>
                <w:lang w:val="en-GB"/>
              </w:rPr>
            </w:pPr>
          </w:p>
        </w:tc>
        <w:tc>
          <w:tcPr>
            <w:tcW w:w="2421" w:type="dxa"/>
            <w:shd w:val="clear" w:color="auto" w:fill="auto"/>
          </w:tcPr>
          <w:p w:rsidR="00170A1A" w:rsidRPr="00C85192" w:rsidRDefault="00170A1A" w:rsidP="004C05DD">
            <w:pPr>
              <w:pStyle w:val="Htableleft"/>
              <w:rPr>
                <w:color w:val="576C88" w:themeColor="text2" w:themeTint="D9"/>
                <w:lang w:val="en-GB"/>
              </w:rPr>
            </w:pPr>
          </w:p>
        </w:tc>
        <w:tc>
          <w:tcPr>
            <w:tcW w:w="2083" w:type="dxa"/>
            <w:shd w:val="clear" w:color="auto" w:fill="auto"/>
          </w:tcPr>
          <w:p w:rsidR="00170A1A" w:rsidRPr="00C85192" w:rsidRDefault="00170A1A" w:rsidP="004C05DD">
            <w:pPr>
              <w:pStyle w:val="Htableleft"/>
              <w:rPr>
                <w:color w:val="576C88" w:themeColor="text2" w:themeTint="D9"/>
                <w:lang w:val="en-GB"/>
              </w:rPr>
            </w:pPr>
          </w:p>
        </w:tc>
        <w:tc>
          <w:tcPr>
            <w:tcW w:w="2878" w:type="dxa"/>
            <w:shd w:val="clear" w:color="auto" w:fill="auto"/>
          </w:tcPr>
          <w:p w:rsidR="00170A1A" w:rsidRPr="00C85192" w:rsidRDefault="00170A1A" w:rsidP="004C05DD">
            <w:pPr>
              <w:pStyle w:val="Htableleft"/>
              <w:rPr>
                <w:color w:val="576C88" w:themeColor="text2" w:themeTint="D9"/>
                <w:lang w:val="en-GB"/>
              </w:rPr>
            </w:pPr>
          </w:p>
        </w:tc>
      </w:tr>
      <w:tr w:rsidR="00170A1A" w:rsidRPr="00C85192" w:rsidTr="004C05DD">
        <w:tc>
          <w:tcPr>
            <w:tcW w:w="2252" w:type="dxa"/>
            <w:shd w:val="clear" w:color="auto" w:fill="auto"/>
          </w:tcPr>
          <w:p w:rsidR="00170A1A" w:rsidRPr="00C85192" w:rsidRDefault="00170A1A" w:rsidP="004C05DD">
            <w:pPr>
              <w:pStyle w:val="Htableleft"/>
              <w:rPr>
                <w:color w:val="576C88" w:themeColor="text2" w:themeTint="D9"/>
                <w:lang w:val="en-GB"/>
              </w:rPr>
            </w:pPr>
          </w:p>
        </w:tc>
        <w:tc>
          <w:tcPr>
            <w:tcW w:w="2421" w:type="dxa"/>
            <w:shd w:val="clear" w:color="auto" w:fill="auto"/>
          </w:tcPr>
          <w:p w:rsidR="00170A1A" w:rsidRPr="00C85192" w:rsidRDefault="00170A1A" w:rsidP="004C05DD">
            <w:pPr>
              <w:pStyle w:val="Htableleft"/>
              <w:rPr>
                <w:color w:val="576C88" w:themeColor="text2" w:themeTint="D9"/>
                <w:lang w:val="en-GB"/>
              </w:rPr>
            </w:pPr>
          </w:p>
        </w:tc>
        <w:tc>
          <w:tcPr>
            <w:tcW w:w="2083" w:type="dxa"/>
            <w:shd w:val="clear" w:color="auto" w:fill="auto"/>
          </w:tcPr>
          <w:p w:rsidR="00170A1A" w:rsidRPr="00C85192" w:rsidRDefault="00170A1A" w:rsidP="004C05DD">
            <w:pPr>
              <w:pStyle w:val="Htableleft"/>
              <w:rPr>
                <w:color w:val="576C88" w:themeColor="text2" w:themeTint="D9"/>
                <w:lang w:val="en-GB"/>
              </w:rPr>
            </w:pPr>
          </w:p>
        </w:tc>
        <w:tc>
          <w:tcPr>
            <w:tcW w:w="2878" w:type="dxa"/>
            <w:shd w:val="clear" w:color="auto" w:fill="auto"/>
          </w:tcPr>
          <w:p w:rsidR="00170A1A" w:rsidRPr="00C85192" w:rsidRDefault="00170A1A" w:rsidP="004C05DD">
            <w:pPr>
              <w:pStyle w:val="Htableleft"/>
              <w:rPr>
                <w:color w:val="576C88" w:themeColor="text2" w:themeTint="D9"/>
                <w:lang w:val="en-GB"/>
              </w:rPr>
            </w:pPr>
          </w:p>
        </w:tc>
      </w:tr>
    </w:tbl>
    <w:p w:rsidR="00170A1A" w:rsidRPr="00C85192" w:rsidRDefault="00170A1A"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70A1A" w:rsidRPr="00C85192" w:rsidTr="005F5B2D">
        <w:tc>
          <w:tcPr>
            <w:tcW w:w="9016" w:type="dxa"/>
            <w:shd w:val="clear" w:color="auto" w:fill="F5F4F4" w:themeFill="background2" w:themeFillTint="66"/>
          </w:tcPr>
          <w:p w:rsidR="00170A1A" w:rsidRPr="00C85192" w:rsidRDefault="00170A1A" w:rsidP="005F5B2D">
            <w:pPr>
              <w:pStyle w:val="HStandard"/>
            </w:pPr>
            <w:r w:rsidRPr="00C85192">
              <w:t>A elbírálási szakaszhoz használható iránymutató kérdések:</w:t>
            </w:r>
          </w:p>
          <w:p w:rsidR="00170A1A" w:rsidRPr="00C85192" w:rsidRDefault="00170A1A" w:rsidP="00170A1A">
            <w:pPr>
              <w:pStyle w:val="Hlistbullet2"/>
            </w:pPr>
            <w:r w:rsidRPr="00C85192">
              <w:t>Milyen mértékben találtunk megalapozott válaszokat az összes értékelési kérdésre?</w:t>
            </w:r>
          </w:p>
          <w:p w:rsidR="00170A1A" w:rsidRPr="00C85192" w:rsidRDefault="00170A1A" w:rsidP="00170A1A">
            <w:pPr>
              <w:pStyle w:val="Hlistbullet2"/>
            </w:pPr>
            <w:r w:rsidRPr="00C85192">
              <w:t>Milyen mértékben támogatják az összegyűjtött bizonyítékok a szakpolitikai tapasztalatszerzéshez használható megalapozott válaszok megfogalmazását?</w:t>
            </w:r>
          </w:p>
          <w:p w:rsidR="00170A1A" w:rsidRPr="00C85192" w:rsidRDefault="00170A1A" w:rsidP="00170A1A">
            <w:pPr>
              <w:pStyle w:val="Hlistbullet2"/>
            </w:pPr>
            <w:r w:rsidRPr="00C85192">
              <w:t>Mely kérdéseket kell részletesebben megvizsgálni további tanulmányok és értékelések során?</w:t>
            </w:r>
          </w:p>
          <w:p w:rsidR="00170A1A" w:rsidRPr="00C85192" w:rsidRDefault="00170A1A" w:rsidP="00170A1A">
            <w:pPr>
              <w:pStyle w:val="Hlistbullet2"/>
            </w:pPr>
            <w:r w:rsidRPr="00C85192">
              <w:lastRenderedPageBreak/>
              <w:t>Melyek a hálózati teljesítmény, hatékonyság és eredményesség javításához használható beavatkozási pontok?</w:t>
            </w:r>
          </w:p>
          <w:p w:rsidR="00170A1A" w:rsidRPr="00C85192" w:rsidRDefault="00170A1A" w:rsidP="00170A1A">
            <w:pPr>
              <w:pStyle w:val="Hlistbullet2"/>
            </w:pPr>
            <w:r w:rsidRPr="00C85192">
              <w:t xml:space="preserve">Kinek mi a feladata a HTE teljesítményének </w:t>
            </w:r>
            <w:r>
              <w:t>javításában</w:t>
            </w:r>
            <w:r w:rsidRPr="00C85192">
              <w:t xml:space="preserve"> és a</w:t>
            </w:r>
            <w:r>
              <w:t>bban, hogy a</w:t>
            </w:r>
            <w:r w:rsidRPr="00C85192">
              <w:t xml:space="preserve">z NVH </w:t>
            </w:r>
            <w:r>
              <w:t xml:space="preserve">fokozottabban járuljon hozzá a </w:t>
            </w:r>
            <w:r w:rsidRPr="00C85192">
              <w:t>vidékfejlesztéshez, ideértve a KAP horizontális célkitűzéseit?</w:t>
            </w:r>
          </w:p>
          <w:p w:rsidR="00170A1A" w:rsidRPr="00C85192" w:rsidRDefault="00170A1A" w:rsidP="00170A1A">
            <w:pPr>
              <w:pStyle w:val="Hlistbullet2"/>
            </w:pPr>
            <w:r w:rsidRPr="00C85192">
              <w:t>Az NVH milyen mértékben tudja hosszú távon megszilárdítani a továbbfejlesztett humán- és társadalmi tőkéből eredő előnyöket?</w:t>
            </w:r>
          </w:p>
        </w:tc>
      </w:tr>
    </w:tbl>
    <w:p w:rsidR="00170A1A" w:rsidRPr="00C85192" w:rsidRDefault="00170A1A" w:rsidP="00D35287">
      <w:pPr>
        <w:pStyle w:val="HHeading5"/>
      </w:pPr>
      <w:r w:rsidRPr="00C85192">
        <w:lastRenderedPageBreak/>
        <w:t xml:space="preserve">Helyes és helytelen gyakorlatok </w:t>
      </w:r>
    </w:p>
    <w:tbl>
      <w:tblPr>
        <w:tblStyle w:val="LightList-Accent5"/>
        <w:tblW w:w="0" w:type="auto"/>
        <w:tblLook w:val="04A0" w:firstRow="1" w:lastRow="0" w:firstColumn="1" w:lastColumn="0" w:noHBand="0" w:noVBand="1"/>
      </w:tblPr>
      <w:tblGrid>
        <w:gridCol w:w="4523"/>
        <w:gridCol w:w="4483"/>
      </w:tblGrid>
      <w:tr w:rsidR="00170A1A" w:rsidRPr="00C85192"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70A1A" w:rsidRPr="00C85192" w:rsidRDefault="00170A1A" w:rsidP="00445E97">
            <w:pPr>
              <w:pStyle w:val="HHeading5"/>
              <w:jc w:val="center"/>
            </w:pPr>
            <w:r w:rsidRPr="00C85192">
              <w:rPr>
                <w:noProof/>
                <w:lang w:val="en-GB" w:eastAsia="en-GB"/>
              </w:rPr>
              <w:drawing>
                <wp:inline distT="0" distB="0" distL="0" distR="0" wp14:anchorId="50A3E7C6" wp14:editId="3AFF8680">
                  <wp:extent cx="360000" cy="36000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70A1A" w:rsidRPr="00C85192" w:rsidRDefault="00170A1A" w:rsidP="00445E97">
            <w:pPr>
              <w:pStyle w:val="HHeading5"/>
              <w:jc w:val="center"/>
              <w:cnfStyle w:val="100000000000" w:firstRow="1" w:lastRow="0" w:firstColumn="0" w:lastColumn="0" w:oddVBand="0" w:evenVBand="0" w:oddHBand="0" w:evenHBand="0" w:firstRowFirstColumn="0" w:firstRowLastColumn="0" w:lastRowFirstColumn="0" w:lastRowLastColumn="0"/>
            </w:pPr>
            <w:r w:rsidRPr="00C85192">
              <w:rPr>
                <w:noProof/>
                <w:lang w:val="en-GB" w:eastAsia="en-GB"/>
              </w:rPr>
              <w:drawing>
                <wp:inline distT="0" distB="0" distL="0" distR="0" wp14:anchorId="77D7A1BB" wp14:editId="26647CD8">
                  <wp:extent cx="360000" cy="360000"/>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70A1A" w:rsidRPr="00C85192"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Arra való törekvés, hogy a külső szemlélő szemszögéből (etic-megközelítés) határozzák meg a megfigyelt társadalmi interakciók jellemző mintáit, és kiaknázzák (az emic-megközelítés szerint) az interjúalanyok/fókuszcsoporttagok által biztosított beszámolókat.</w:t>
            </w:r>
          </w:p>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Az összes értékelési kérdés áttekintése, amelynek során a fel sem tett kérdéseket is megválaszolják, ha azoknak van releváns, vagy akár meglepő vonatkozásuk.</w:t>
            </w:r>
          </w:p>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Az értékelés megállapításaihoz kapcsolódó következtetések levonása, figyelembe véve a beavatkozás relevanciáját, hatékonyságát, eredményességét, eredményeit, hatásait, fenntarthatóságát, továbbá annak meghatározása, hogy a következtetések mennyire érvényesek és megalapozottak.</w:t>
            </w:r>
          </w:p>
          <w:p w:rsidR="00170A1A" w:rsidRPr="00C85192" w:rsidRDefault="00170A1A" w:rsidP="00445E97">
            <w:pPr>
              <w:pStyle w:val="HStandard"/>
              <w:spacing w:before="120" w:line="240" w:lineRule="atLeast"/>
              <w:rPr>
                <w:b w:val="0"/>
                <w:color w:val="FFC000" w:themeColor="accent4"/>
                <w:sz w:val="18"/>
                <w:szCs w:val="18"/>
              </w:rPr>
            </w:pPr>
            <w:r w:rsidRPr="00C85192">
              <w:rPr>
                <w:b w:val="0"/>
                <w:color w:val="FFC000" w:themeColor="accent4"/>
                <w:sz w:val="18"/>
                <w:szCs w:val="18"/>
              </w:rPr>
              <w:t>Javaslatok megfogalmazása minden releváns szereplő számára, a lehető leggyakorlatiasabb és legrealisztikusabb módon.</w:t>
            </w:r>
          </w:p>
          <w:p w:rsidR="00170A1A" w:rsidRPr="00C85192" w:rsidRDefault="00170A1A" w:rsidP="00445E97">
            <w:pPr>
              <w:pStyle w:val="HStandard"/>
              <w:rPr>
                <w:color w:val="FFC000" w:themeColor="accent4"/>
              </w:rPr>
            </w:pPr>
            <w:r w:rsidRPr="00C85192">
              <w:rPr>
                <w:b w:val="0"/>
                <w:color w:val="FFC000" w:themeColor="accent4"/>
                <w:sz w:val="18"/>
                <w:szCs w:val="18"/>
              </w:rPr>
              <w:t>A különböző szereplők bevonása a megállapítások értelmezésébe, valamint az értékelés következtetéseinek és javaslatainak megvitatásába.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 xml:space="preserve">Az értékelési kérdések megválaszolásakor kizárólag az értékelő feltételezéseire való támaszkodás bizonyítékok gyűjtése nélkül. </w:t>
            </w:r>
          </w:p>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A megalapozott és bizonytalan megállapítások egybemosása az értékelési kérdések megválaszolásakor.</w:t>
            </w:r>
          </w:p>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Általános közhelyek megfogalmazása az NVH konkrét jellemzőinek és lehetőségeinek részletes megvizsgálása nélkül.</w:t>
            </w:r>
          </w:p>
          <w:p w:rsidR="00170A1A" w:rsidRPr="00C85192" w:rsidRDefault="00170A1A"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sidRPr="00C85192">
              <w:rPr>
                <w:color w:val="ED7D31" w:themeColor="accent2"/>
                <w:sz w:val="18"/>
                <w:szCs w:val="18"/>
              </w:rPr>
              <w:t>Az értékelési kérdések megválaszolása a váratlan hatások megvizsgálása nélkül.</w:t>
            </w:r>
          </w:p>
          <w:p w:rsidR="00170A1A" w:rsidRPr="00C85192" w:rsidRDefault="00170A1A"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sidRPr="00C85192">
              <w:rPr>
                <w:color w:val="ED7D31" w:themeColor="accent2"/>
                <w:sz w:val="18"/>
                <w:szCs w:val="18"/>
              </w:rPr>
              <w:t>Általános javaslatok megfogalmazása a konkrét érdekeltek figyelmen kívül hagyásával vagy a tabunak tűnő témák megkerülésével.</w:t>
            </w:r>
          </w:p>
        </w:tc>
      </w:tr>
    </w:tbl>
    <w:p w:rsidR="00170A1A" w:rsidRPr="00C85192" w:rsidRDefault="00170A1A" w:rsidP="00D35287">
      <w:pPr>
        <w:pStyle w:val="HHeading5"/>
      </w:pPr>
      <w:r w:rsidRPr="00C85192">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70A1A" w:rsidRPr="008D0759" w:rsidTr="005F5B2D">
        <w:tc>
          <w:tcPr>
            <w:tcW w:w="9918" w:type="dxa"/>
            <w:shd w:val="clear" w:color="auto" w:fill="F5F4F4" w:themeFill="background2" w:themeFillTint="66"/>
          </w:tcPr>
          <w:p w:rsidR="00170A1A" w:rsidRPr="008D0759" w:rsidRDefault="00170A1A" w:rsidP="005F5B2D">
            <w:pPr>
              <w:pStyle w:val="HStandard"/>
              <w:rPr>
                <w:sz w:val="16"/>
                <w:szCs w:val="16"/>
              </w:rPr>
            </w:pPr>
            <w:r w:rsidRPr="00C85192">
              <w:rPr>
                <w:sz w:val="16"/>
                <w:szCs w:val="16"/>
              </w:rPr>
              <w:t xml:space="preserve">Ray Pawson and Nick Tilley, 2004: Realist Evaluation. </w:t>
            </w:r>
            <w:hyperlink r:id="rId58" w:history="1">
              <w:r w:rsidRPr="00C85192">
                <w:rPr>
                  <w:rStyle w:val="Hyperlink"/>
                  <w:sz w:val="16"/>
                  <w:szCs w:val="16"/>
                </w:rPr>
                <w:t>http://www.communitymatters.com.au/RE_chapter.pdf</w:t>
              </w:r>
            </w:hyperlink>
            <w:r>
              <w:rPr>
                <w:sz w:val="16"/>
                <w:szCs w:val="16"/>
              </w:rPr>
              <w:t xml:space="preserve"> </w:t>
            </w:r>
          </w:p>
        </w:tc>
      </w:tr>
    </w:tbl>
    <w:p w:rsidR="00170A1A" w:rsidRDefault="00170A1A" w:rsidP="00320BBA">
      <w:pPr>
        <w:pStyle w:val="HStandard"/>
        <w:rPr>
          <w:rFonts w:eastAsia="Calibri"/>
        </w:rPr>
      </w:pPr>
    </w:p>
    <w:p w:rsidR="00170A1A" w:rsidRPr="004E17E1" w:rsidRDefault="00170A1A" w:rsidP="00C4370D">
      <w:pPr>
        <w:pStyle w:val="HHeading1"/>
      </w:pPr>
      <w:bookmarkStart w:id="293" w:name="_Toc453079782"/>
      <w:r w:rsidRPr="004E17E1">
        <w:lastRenderedPageBreak/>
        <w:t>III. RÉSZ – ESZKÖZTÁR</w:t>
      </w:r>
      <w:bookmarkEnd w:id="293"/>
    </w:p>
    <w:p w:rsidR="00170A1A" w:rsidRPr="004E17E1" w:rsidRDefault="00170A1A" w:rsidP="00501EAB">
      <w:pPr>
        <w:pStyle w:val="HHeading2"/>
        <w:tabs>
          <w:tab w:val="clear" w:pos="360"/>
        </w:tabs>
        <w:ind w:left="510" w:hanging="510"/>
      </w:pPr>
      <w:bookmarkStart w:id="294" w:name="_Toc453079783"/>
      <w:r w:rsidRPr="004E17E1">
        <w:t>A programozási időszakban végzett értékeléshez használható feladatmeghatározás indikatív sablonja</w:t>
      </w:r>
      <w:bookmarkEnd w:id="294"/>
    </w:p>
    <w:p w:rsidR="00170A1A" w:rsidRPr="004E17E1" w:rsidRDefault="00170A1A" w:rsidP="00C4370D">
      <w:pPr>
        <w:pStyle w:val="HHeading5"/>
      </w:pPr>
      <w:r w:rsidRPr="004E17E1">
        <w:t>Bevezetés</w:t>
      </w:r>
    </w:p>
    <w:p w:rsidR="00170A1A" w:rsidRPr="004E17E1" w:rsidRDefault="00170A1A" w:rsidP="00C4370D">
      <w:pPr>
        <w:pStyle w:val="HStandard"/>
      </w:pPr>
      <w:r w:rsidRPr="004E17E1">
        <w:t xml:space="preserve">Az irányító hatóság által az NVH-értékeléshez kidolgozott feladatmeghatározás fontos információkat nyújt a lehetséges külső értékelőknek az ajánlattételi felhívás során. A feladatmeghatározás az értékelési tervben felvázolt tevékenységeket tükrözi, és segít a külső értékelők által végrehajtandó NVH-értékelés szerkezetének meghatározásában. A külső értékelők a feladatmeghatározásra válaszul ajánlatot nyújtanak be. A két elem (a feladatmeghatározás és az ajánlat) együttesen adja az értékelés végrehajtására vonatkozó szerződés alapját. </w:t>
      </w:r>
    </w:p>
    <w:p w:rsidR="00170A1A" w:rsidRPr="004E17E1" w:rsidRDefault="00170A1A" w:rsidP="00C4370D">
      <w:pPr>
        <w:pStyle w:val="HStandard"/>
      </w:pPr>
      <w:r w:rsidRPr="004E17E1">
        <w:t>Az NVH-értékeléshez kapcsolódó feladatmeghatározás tartalmazza az értékelési követelményeket, tevékenységeket és a várt eredményeket, valamint tisztázza a felek együttműködésének módját. Rendszerint a tanácsadónak szóló általános bevezetőt, a technikai követelmények meghatározását, valamint különféle mellékleteket tartalmaz (például a fő dokumentumokra történő hivatkozásokat, értékelési kérdéseket, árajánlati sablonokat, a szolgáltatási szerződés tervezetét).</w:t>
      </w:r>
    </w:p>
    <w:p w:rsidR="00170A1A" w:rsidRPr="004E17E1" w:rsidRDefault="00170A1A" w:rsidP="00C4370D">
      <w:pPr>
        <w:pStyle w:val="HStandard"/>
      </w:pPr>
      <w:r w:rsidRPr="004E17E1">
        <w:t xml:space="preserve">Az alábbi indikatív vázlat javaslatokat tartalmaz az NVH-értékeléshez kapcsolódó feladatmeghatározás, különösen annak technikai részének kidolgozásához. A feladatmeghatározást a közös monitoring- és értékelési rendszerben (CMES) megszabott követelményekkel összhangban kell megfogalmazni. A feladatmeghatározás utalhat NVH-programra vagy egy VFP-be bevont NVH önálló értékelésére. Amennyiben az NVH-t a VFP-értékelés keretében értékelik, az NVH-értékeléshez nem készítenek külön feladatmeghatározást. </w:t>
      </w:r>
    </w:p>
    <w:p w:rsidR="00170A1A" w:rsidRPr="004E17E1" w:rsidRDefault="00170A1A" w:rsidP="00C4370D">
      <w:pPr>
        <w:pStyle w:val="HStandard"/>
      </w:pPr>
      <w:r w:rsidRPr="004E17E1">
        <w:t>Az ajánlatkérő szerveknek gondoskodniuk kell arról, hogy a feladatmeghatározás összhangban legyen a tagállamban alkalmazott közbeszerzési eljárásokkal. A feladatmeghatározásra vonatkozó alábbi technikai előírásokat kell figyelembe venni.</w:t>
      </w:r>
    </w:p>
    <w:p w:rsidR="00170A1A" w:rsidRPr="004E17E1" w:rsidRDefault="00170A1A" w:rsidP="006A099F">
      <w:pPr>
        <w:pStyle w:val="HHeading5"/>
      </w:pPr>
      <w:bookmarkStart w:id="295" w:name="_Toc422307927"/>
      <w:r w:rsidRPr="004E17E1">
        <w:t>Az értékelés háttere, célkitűzése és célja</w:t>
      </w:r>
      <w:bookmarkEnd w:id="295"/>
    </w:p>
    <w:p w:rsidR="00170A1A" w:rsidRPr="004E17E1" w:rsidRDefault="00170A1A" w:rsidP="00C4370D">
      <w:pPr>
        <w:pStyle w:val="HStandard"/>
      </w:pPr>
      <w:r w:rsidRPr="004E17E1">
        <w:t>A kezdő fejezetben meg kell határozni az értékelés jogszabályi követelményeit és keretét (például az uniós és nemzeti jogi hivatkozásokat). Le kell írni az értékelés hátterét és célját. Rögzíteni kell az értékelés tárgyát is.</w:t>
      </w:r>
    </w:p>
    <w:p w:rsidR="00170A1A" w:rsidRPr="004E17E1" w:rsidRDefault="00170A1A" w:rsidP="00C4370D">
      <w:pPr>
        <w:pStyle w:val="HStandard"/>
        <w:rPr>
          <w:i/>
        </w:rPr>
      </w:pPr>
      <w:r w:rsidRPr="004E17E1">
        <w:rPr>
          <w:i/>
        </w:rPr>
        <w:t>Példa:</w:t>
      </w:r>
    </w:p>
    <w:p w:rsidR="00170A1A" w:rsidRPr="004E17E1" w:rsidRDefault="00170A1A" w:rsidP="00C4370D">
      <w:pPr>
        <w:pStyle w:val="HStandard"/>
        <w:rPr>
          <w:i/>
        </w:rPr>
      </w:pPr>
      <w:r w:rsidRPr="004E17E1">
        <w:rPr>
          <w:i/>
        </w:rPr>
        <w:t>A 2014–2020-as időszakban megvalósítandó vidékfejlesztési politika megerősíti általánosságban az értékelést és különösen a hálózatértékelést. Nagyobb hangsúlyt kap a hálózatok és a hálózatépítés értékelése az ilyen tevékenységekből származó eredmények és hatások jobb megértése érdekében.</w:t>
      </w:r>
    </w:p>
    <w:p w:rsidR="00170A1A" w:rsidRPr="004E17E1" w:rsidRDefault="00170A1A" w:rsidP="00C4370D">
      <w:pPr>
        <w:pStyle w:val="HStandard"/>
        <w:rPr>
          <w:i/>
        </w:rPr>
      </w:pPr>
      <w:r w:rsidRPr="004E17E1">
        <w:rPr>
          <w:i/>
        </w:rPr>
        <w:t>A 2014–2020-as programozási időszak VFP-értékeléseire vonatkozó fő követelményeket az 1303/2013/EU rendelet 54–57. cikke, valamint az 1305/2013/EU rendelet 76–79. cikke határozza meg. Ez utóbbi négy közös átfogó NVH-célkitűzést és egy közös intézkedéscsoportot szab meg, amelyet a hálózatoknak végre kell hajtaniuk.</w:t>
      </w:r>
    </w:p>
    <w:p w:rsidR="00170A1A" w:rsidRPr="004E17E1" w:rsidRDefault="00170A1A" w:rsidP="00C4370D">
      <w:pPr>
        <w:pStyle w:val="HStandard"/>
        <w:rPr>
          <w:i/>
        </w:rPr>
      </w:pPr>
      <w:r w:rsidRPr="004E17E1">
        <w:rPr>
          <w:i/>
        </w:rPr>
        <w:t>A Bizottság végrehajtási rendelete három közös teljesítménymutatót és egy közös értékelési kérdést rögzít (a CMES részeként). Az NVH-k értékelésére vonatkozó iránymutatás információkat tartalmaz az NVH-ra vonatkozó további és programspecifikus mutatók kidolgozásának módjával kapcsolatosan.</w:t>
      </w:r>
    </w:p>
    <w:p w:rsidR="00170A1A" w:rsidRPr="004E17E1" w:rsidRDefault="00170A1A" w:rsidP="00C4370D">
      <w:pPr>
        <w:pStyle w:val="HStandard"/>
        <w:rPr>
          <w:i/>
        </w:rPr>
      </w:pPr>
      <w:r w:rsidRPr="004E17E1">
        <w:rPr>
          <w:i/>
        </w:rPr>
        <w:t>A VFP értékelési terve fő értékelési témaként határozta meg az NVH-t a programozási időszak alatt.</w:t>
      </w:r>
    </w:p>
    <w:p w:rsidR="00170A1A" w:rsidRPr="004E17E1" w:rsidRDefault="00170A1A" w:rsidP="00C4370D">
      <w:pPr>
        <w:pStyle w:val="HStandard"/>
        <w:rPr>
          <w:i/>
        </w:rPr>
      </w:pPr>
      <w:r w:rsidRPr="004E17E1">
        <w:rPr>
          <w:i/>
        </w:rPr>
        <w:lastRenderedPageBreak/>
        <w:t>Speciális szerepénél és jellegénél fogva az NVH mint szakpolitikai hálózat hajtóerőt kell, hogy adjon a vidékfejlesztési programok hatékonyabb végrehajtásához. Az NVH-nak pótolnia kell a más köz- és magánintézmények által kínált szolgáltatások hiányosságait, és szinergiára kell törekednie más hálózatokkal nemzeti és európai szinten. Mivel az NVH-t a VFP technikai segítségnyújtási költségvetéséből finanszírozzák, a lehető legtöbbet kell kihozni a felhasznált erőforrásokból.</w:t>
      </w:r>
    </w:p>
    <w:p w:rsidR="00170A1A" w:rsidRPr="004E17E1" w:rsidRDefault="00170A1A" w:rsidP="00C4370D">
      <w:pPr>
        <w:pStyle w:val="HStandard"/>
        <w:rPr>
          <w:i/>
        </w:rPr>
      </w:pPr>
      <w:r w:rsidRPr="004E17E1">
        <w:rPr>
          <w:i/>
        </w:rPr>
        <w:t>Az NVH-értékelésnek be kell mutatnia a HTE (a hálózati titkárság) és az NVH érdekelt feleinek szélesebb csoportjából álló hálózatának teljesítményét, továbbá értékelnie kell annak eredményeit, hatásait, eredményességét, hatékonyságát és relevanciáját, valamint hozzá kell járulnia a vidékfejlesztés célirányosabb támogatásához.</w:t>
      </w:r>
    </w:p>
    <w:p w:rsidR="00170A1A" w:rsidRPr="004E17E1" w:rsidRDefault="00170A1A" w:rsidP="00C4370D">
      <w:pPr>
        <w:pStyle w:val="HStandard"/>
        <w:rPr>
          <w:i/>
        </w:rPr>
      </w:pPr>
      <w:r w:rsidRPr="004E17E1">
        <w:rPr>
          <w:i/>
        </w:rPr>
        <w:t>Az értékelésnek ezenfelül hozzá kell járulnia az NVH cselekvési tervének naprakésszé tételéhez, hogy reagáljanak az igényeknek a vidékfejlesztési program végrehajtása során bekövetkező változásaira.</w:t>
      </w:r>
    </w:p>
    <w:p w:rsidR="00170A1A" w:rsidRPr="004E17E1" w:rsidRDefault="00170A1A" w:rsidP="00C4370D">
      <w:pPr>
        <w:pStyle w:val="HStandard"/>
        <w:rPr>
          <w:i/>
        </w:rPr>
      </w:pPr>
      <w:r w:rsidRPr="004E17E1">
        <w:rPr>
          <w:i/>
        </w:rPr>
        <w:t>Az értékelés célközönsége az ügyfél és az NVH-ba bevont érdekeltek szélesebb köre.</w:t>
      </w:r>
    </w:p>
    <w:p w:rsidR="00170A1A" w:rsidRPr="004E17E1" w:rsidRDefault="00170A1A" w:rsidP="00C4370D">
      <w:pPr>
        <w:pStyle w:val="HStandard"/>
        <w:rPr>
          <w:i/>
        </w:rPr>
      </w:pPr>
      <w:r w:rsidRPr="004E17E1">
        <w:rPr>
          <w:i/>
        </w:rPr>
        <w:t>Az értékeléshez információt adhat az NVH-önértékelés, amely fontos eszköz az NVH teljesítményének javítására.</w:t>
      </w:r>
    </w:p>
    <w:p w:rsidR="00170A1A" w:rsidRPr="004E17E1" w:rsidRDefault="00170A1A" w:rsidP="00C4370D">
      <w:pPr>
        <w:pStyle w:val="HStandard"/>
        <w:rPr>
          <w:i/>
        </w:rPr>
      </w:pPr>
      <w:r w:rsidRPr="004E17E1">
        <w:rPr>
          <w:i/>
        </w:rPr>
        <w:t>Az NVH-eredmények és az NVH-ra vonatkozó közös értékelési kérdésekre adott válaszok értékelése a 2017. június 30-ig benyújtandó bővített éves végrehajtási jelentésben esedékes. Az NVH-hatások és az NVH-ra vonatkozó közös értékelési kérdésekre adott válaszok értékelése szerepelni fog a 2019-ben benyújtandó bővített éves végrehajtási jelentésben, valamint a 2024. december 31-ig benyújtandó utólagos értékelésben.</w:t>
      </w:r>
    </w:p>
    <w:p w:rsidR="00170A1A" w:rsidRPr="004E17E1" w:rsidRDefault="00170A1A" w:rsidP="006A099F">
      <w:pPr>
        <w:pStyle w:val="HHeading5"/>
      </w:pPr>
      <w:bookmarkStart w:id="296" w:name="_Toc422307928"/>
      <w:r w:rsidRPr="004E17E1">
        <w:t>Az NVH-értékelés hatóköre és feladatai</w:t>
      </w:r>
      <w:bookmarkEnd w:id="296"/>
    </w:p>
    <w:p w:rsidR="00170A1A" w:rsidRPr="004E17E1" w:rsidRDefault="00170A1A" w:rsidP="00C4370D">
      <w:pPr>
        <w:pStyle w:val="HStandard"/>
      </w:pPr>
      <w:r w:rsidRPr="004E17E1">
        <w:t>A feladatmeghatározás e szakaszában az értékelés célkitűzéseivel összhangban</w:t>
      </w:r>
      <w:r w:rsidRPr="0049467E">
        <w:t xml:space="preserve"> </w:t>
      </w:r>
      <w:r w:rsidRPr="004E17E1">
        <w:t>rögzítik az értékelés hatókörét és tartalmát. Részletezni lehet a vizsgálati időszakot, az értékelés földrajzi és tematikus terjedelmét, a célcsoportokat és a figyelembe veendő feladatokat. Az értékelés hatókörének a rendelkezésre álló idő és erőforrások szempontjából reálisnak kell lennie.</w:t>
      </w:r>
    </w:p>
    <w:p w:rsidR="00170A1A" w:rsidRPr="004E17E1" w:rsidRDefault="00170A1A" w:rsidP="00C4370D">
      <w:pPr>
        <w:pStyle w:val="HStandard"/>
        <w:rPr>
          <w:i/>
        </w:rPr>
      </w:pPr>
      <w:r w:rsidRPr="004E17E1">
        <w:rPr>
          <w:i/>
        </w:rPr>
        <w:t>Példa</w:t>
      </w:r>
    </w:p>
    <w:p w:rsidR="00170A1A" w:rsidRPr="004E17E1" w:rsidRDefault="00170A1A" w:rsidP="00C4370D">
      <w:pPr>
        <w:pStyle w:val="HStandard"/>
        <w:rPr>
          <w:i/>
        </w:rPr>
      </w:pPr>
      <w:r w:rsidRPr="004E17E1">
        <w:rPr>
          <w:i/>
        </w:rPr>
        <w:t>Az átfogó értékelési tanulmány célkitűzése:</w:t>
      </w:r>
    </w:p>
    <w:p w:rsidR="00170A1A" w:rsidRPr="004E17E1" w:rsidRDefault="00170A1A" w:rsidP="00C4370D">
      <w:pPr>
        <w:pStyle w:val="Hlistbullet2"/>
        <w:rPr>
          <w:i/>
        </w:rPr>
      </w:pPr>
      <w:r w:rsidRPr="004E17E1">
        <w:rPr>
          <w:i/>
        </w:rPr>
        <w:t xml:space="preserve">bemutatni a HTE (a hálózati titkárság) és az NVH (az NVH-tagok szélesebb csoportja), valamint a hálózat érdekeltjeinek teljesítményét,  </w:t>
      </w:r>
    </w:p>
    <w:p w:rsidR="00170A1A" w:rsidRPr="004E17E1" w:rsidRDefault="00170A1A" w:rsidP="00C4370D">
      <w:pPr>
        <w:pStyle w:val="Hlistbullet2"/>
        <w:rPr>
          <w:i/>
        </w:rPr>
      </w:pPr>
      <w:r w:rsidRPr="004E17E1">
        <w:rPr>
          <w:i/>
        </w:rPr>
        <w:t xml:space="preserve">értékelni annak eredményeit, hatásait, eredményességét, hatékonyságát, relevanciáját, továbbá </w:t>
      </w:r>
    </w:p>
    <w:p w:rsidR="00170A1A" w:rsidRPr="004E17E1" w:rsidRDefault="00170A1A" w:rsidP="00C4370D">
      <w:pPr>
        <w:pStyle w:val="Hlistbullet2"/>
        <w:rPr>
          <w:i/>
        </w:rPr>
      </w:pPr>
      <w:r w:rsidRPr="004E17E1">
        <w:rPr>
          <w:i/>
        </w:rPr>
        <w:t>hozzájárulni a vidékfejlesztés célzottabb támogatásához.</w:t>
      </w:r>
    </w:p>
    <w:p w:rsidR="00170A1A" w:rsidRPr="004E17E1" w:rsidRDefault="00170A1A" w:rsidP="00C4370D">
      <w:pPr>
        <w:pStyle w:val="HStandard"/>
        <w:rPr>
          <w:i/>
        </w:rPr>
      </w:pPr>
      <w:r w:rsidRPr="004E17E1">
        <w:rPr>
          <w:i/>
        </w:rPr>
        <w:t>A főbb értékelési feladatok:</w:t>
      </w:r>
    </w:p>
    <w:p w:rsidR="00170A1A" w:rsidRPr="004E17E1" w:rsidRDefault="00170A1A" w:rsidP="00B51C05">
      <w:pPr>
        <w:pStyle w:val="Hlistbullet2"/>
        <w:rPr>
          <w:i/>
        </w:rPr>
      </w:pPr>
      <w:r w:rsidRPr="004E17E1">
        <w:rPr>
          <w:i/>
        </w:rPr>
        <w:t>a vidékfejlesztési hálózat által végrehajtott beavatkozások relevanciájának értékelése az igények és a változó keretfeltételek tükrében,</w:t>
      </w:r>
    </w:p>
    <w:p w:rsidR="00170A1A" w:rsidRPr="004E17E1" w:rsidRDefault="00170A1A" w:rsidP="00B51C05">
      <w:pPr>
        <w:pStyle w:val="Hlistbullet2"/>
        <w:rPr>
          <w:i/>
        </w:rPr>
      </w:pPr>
      <w:r w:rsidRPr="004E17E1">
        <w:rPr>
          <w:i/>
        </w:rPr>
        <w:t xml:space="preserve">az NVH-tevékenységek teljesítményének, eredményeinek és hatásainak, az NVH célkitűzéseinek, sikereinek, valamint a VFP célkitűzéseihez való hozzájárulásnak az értékelése, </w:t>
      </w:r>
    </w:p>
    <w:p w:rsidR="00170A1A" w:rsidRPr="004E17E1" w:rsidRDefault="00170A1A" w:rsidP="00B51C05">
      <w:pPr>
        <w:pStyle w:val="Hlistbullet2"/>
        <w:rPr>
          <w:i/>
        </w:rPr>
      </w:pPr>
      <w:r w:rsidRPr="004E17E1">
        <w:rPr>
          <w:i/>
        </w:rPr>
        <w:t xml:space="preserve">az NVH tervezésével és megvalósításával kapcsolatos javaslatok kidolgozása, </w:t>
      </w:r>
    </w:p>
    <w:p w:rsidR="00170A1A" w:rsidRPr="004E17E1" w:rsidRDefault="00170A1A" w:rsidP="00B51C05">
      <w:pPr>
        <w:pStyle w:val="Hlistbullet2"/>
        <w:rPr>
          <w:i/>
        </w:rPr>
      </w:pPr>
      <w:r w:rsidRPr="004E17E1">
        <w:rPr>
          <w:i/>
        </w:rPr>
        <w:t>hatékony megközelítés javasolása az NVH monitoringjának és értékelésének javítására vonatkozóan.</w:t>
      </w:r>
    </w:p>
    <w:p w:rsidR="00170A1A" w:rsidRPr="004E17E1" w:rsidRDefault="00170A1A" w:rsidP="00B51C05">
      <w:pPr>
        <w:pStyle w:val="HStandard"/>
        <w:rPr>
          <w:i/>
        </w:rPr>
      </w:pPr>
      <w:r w:rsidRPr="004E17E1">
        <w:rPr>
          <w:i/>
        </w:rPr>
        <w:t>A programozási időszak során végzett külső értékelés magában foglalja a 2014–2020-as időszakban megvalósítandó minden NVH-tevékenységet, kezdve az NVH létrehozásától egészen annak megszüntetéséig.</w:t>
      </w:r>
    </w:p>
    <w:p w:rsidR="00170A1A" w:rsidRPr="004E17E1" w:rsidRDefault="00170A1A" w:rsidP="00B51C05">
      <w:pPr>
        <w:pStyle w:val="HStandard"/>
        <w:rPr>
          <w:i/>
        </w:rPr>
      </w:pPr>
      <w:r w:rsidRPr="004E17E1">
        <w:rPr>
          <w:i/>
        </w:rPr>
        <w:lastRenderedPageBreak/>
        <w:t>A földrajzi lefedettségbe a VFP teljes területe beletartozik. A fő értékelési feladatokat az értékelési mérföldkövekhez (2017., 2019. és utólagos) kapcsolódóan kell végrehajtani. Az értékelési tevékenységeket fontos a politikaalkotási és jelentéstételi ciklushoz igazítani. Ezzel garantálható, hogy az értékelés megállapításait időben biztosítják és ismertetik a vonatkozó célközönséggel (az ügyféllel, az NVH érdekeltjeinek irányítócsoportjával és az Európai Bizottsággal).</w:t>
      </w:r>
    </w:p>
    <w:p w:rsidR="00170A1A" w:rsidRPr="004E17E1" w:rsidRDefault="00170A1A" w:rsidP="00B51C05">
      <w:pPr>
        <w:pStyle w:val="HStandard"/>
        <w:rPr>
          <w:i/>
        </w:rPr>
      </w:pPr>
      <w:r w:rsidRPr="004E17E1">
        <w:rPr>
          <w:i/>
        </w:rPr>
        <w:t xml:space="preserve">A 2017-es és 2019-es éves bővített végrehajtási jelentések 2. pontjában szerepelnie kell az NVH-értékelés irányításának és az NVH-értékeléssel kapcsolatosan (a VFP részeként vagy önálló értékelés keretében) végrehajtott tevékenységeknek, ideértve az adatgyűjtéssel, terjesztéssel, kommunikációval és az értékelési megállapítások nyomon követésével kapcsolatos tevékenységeket. </w:t>
      </w:r>
    </w:p>
    <w:p w:rsidR="00170A1A" w:rsidRPr="004E17E1" w:rsidRDefault="00170A1A" w:rsidP="00B51C05">
      <w:pPr>
        <w:pStyle w:val="HStandard"/>
        <w:rPr>
          <w:i/>
        </w:rPr>
      </w:pPr>
      <w:r w:rsidRPr="004E17E1">
        <w:rPr>
          <w:i/>
        </w:rPr>
        <w:t xml:space="preserve">A 2017-es éves végrehajtási jelentés 7. pontja tartalmazza az NVH hátterében bekövetkező változásokkal, az NVH (további és programspecifikus eredménymutatók szerinti) eredményeivel, a 21. közös értékelési kérdésre, valamint bármilyen, a tagállam által az NVH-ra vonatkozóan kidolgozott programspecifikus értékelési kérdésre adott válasszal kapcsolatos információkat. Az értékelőknek további eredménymutatókat kell használniuk a közös értékelési kérdések megválaszolásához. Az NVH-ra vonatkozó programspecifikus értékelési kérdéseket a tagállamban kidolgozott programspecifikus NVH-mutatókkal kell megválaszolni (lásd az iránymutatás 2.2.2. fejezetét). </w:t>
      </w:r>
    </w:p>
    <w:p w:rsidR="00170A1A" w:rsidRPr="004E17E1" w:rsidRDefault="00170A1A" w:rsidP="00B51C05">
      <w:pPr>
        <w:pStyle w:val="HStandard"/>
        <w:rPr>
          <w:i/>
        </w:rPr>
      </w:pPr>
      <w:r w:rsidRPr="004E17E1">
        <w:rPr>
          <w:i/>
        </w:rPr>
        <w:t xml:space="preserve">A 2019-es bővített éves végrehajtási jelentés 7. pontjának a 2017-es éves végrehajtási jelentésben megadott információkon kívül tartalmaznia kell az NVH-nak a – további és programspecifikus – hatásmutatók használata révén értékelt hatásaival kapcsolatos információkat (lásd az iránymutatás 2.2.2. fejezetét). Mindkét jelentésben be kell mutatni az NVH-beavatkozások optimalizálásának módjára vonatkozó javaslatokat. </w:t>
      </w:r>
    </w:p>
    <w:p w:rsidR="00170A1A" w:rsidRPr="004E17E1" w:rsidRDefault="00170A1A" w:rsidP="00B51C05">
      <w:pPr>
        <w:pStyle w:val="HStandard"/>
        <w:rPr>
          <w:i/>
        </w:rPr>
      </w:pPr>
      <w:r w:rsidRPr="004E17E1">
        <w:rPr>
          <w:i/>
        </w:rPr>
        <w:t>A 2024-es utólagos értékelésnek tartalmaznia kell alábbi témákkal kapcsolatos értékelési megállapításokat:</w:t>
      </w:r>
    </w:p>
    <w:p w:rsidR="00170A1A" w:rsidRPr="004E17E1" w:rsidRDefault="00170A1A" w:rsidP="00B51C05">
      <w:pPr>
        <w:pStyle w:val="Hlistbullet2"/>
        <w:rPr>
          <w:i/>
        </w:rPr>
      </w:pPr>
      <w:r w:rsidRPr="004E17E1">
        <w:rPr>
          <w:i/>
        </w:rPr>
        <w:t>az NVH-tevékenységek hatásai, a hatások kifejtésének mechanizmusai, a változások hálózatnak való tulajdonítása, valamint váratlan hatások;</w:t>
      </w:r>
    </w:p>
    <w:p w:rsidR="00170A1A" w:rsidRPr="004E17E1" w:rsidRDefault="00170A1A" w:rsidP="00B51C05">
      <w:pPr>
        <w:pStyle w:val="Hlistbullet2"/>
        <w:rPr>
          <w:i/>
        </w:rPr>
      </w:pPr>
      <w:r w:rsidRPr="004E17E1">
        <w:rPr>
          <w:i/>
        </w:rPr>
        <w:t>az NVH szolgáltatásainak és tevékenységeinek jövőbeli optimalizálását célzó javaslatok.</w:t>
      </w:r>
    </w:p>
    <w:p w:rsidR="00170A1A" w:rsidRPr="004E17E1" w:rsidRDefault="00170A1A" w:rsidP="006A099F">
      <w:pPr>
        <w:pStyle w:val="HHeading5"/>
      </w:pPr>
      <w:bookmarkStart w:id="297" w:name="_Toc422307929"/>
      <w:r w:rsidRPr="004E17E1">
        <w:t>Értékelési kérdések</w:t>
      </w:r>
      <w:bookmarkEnd w:id="297"/>
      <w:r w:rsidRPr="004E17E1">
        <w:t xml:space="preserve"> </w:t>
      </w:r>
    </w:p>
    <w:p w:rsidR="00170A1A" w:rsidRPr="004E17E1" w:rsidRDefault="00170A1A" w:rsidP="00B51C05">
      <w:pPr>
        <w:pStyle w:val="HStandard"/>
      </w:pPr>
      <w:r w:rsidRPr="004E17E1">
        <w:t xml:space="preserve">A feladatmeghatározás értékelési kérdései meghatározzák az értékelés hangsúlyos részeit, és célzottabb értékelési tevékenységet tesznek lehetővé. A feladatmeghatározásnak elő kell írnia a megválaszolandó értékelési kérdések típusát: </w:t>
      </w:r>
    </w:p>
    <w:p w:rsidR="00170A1A" w:rsidRPr="004E17E1" w:rsidRDefault="00170A1A" w:rsidP="00170A1A">
      <w:pPr>
        <w:pStyle w:val="Hlistabc"/>
        <w:numPr>
          <w:ilvl w:val="0"/>
          <w:numId w:val="19"/>
        </w:numPr>
      </w:pPr>
      <w:r w:rsidRPr="004E17E1">
        <w:t>a 21. számú közös értékelési kérdés</w:t>
      </w:r>
      <w:r w:rsidRPr="004E17E1">
        <w:rPr>
          <w:rStyle w:val="FootnoteReference"/>
          <w:lang w:val="en-GB"/>
        </w:rPr>
        <w:footnoteReference w:id="123"/>
      </w:r>
      <w:r w:rsidRPr="004E17E1">
        <w:t xml:space="preserve"> az NVH négy közös átfogó célkitűzéséhez kapcsolódik; </w:t>
      </w:r>
    </w:p>
    <w:p w:rsidR="00170A1A" w:rsidRPr="004E17E1" w:rsidRDefault="00170A1A" w:rsidP="00B51C05">
      <w:pPr>
        <w:pStyle w:val="Hlistabc2"/>
      </w:pPr>
      <w:r w:rsidRPr="004E17E1">
        <w:t xml:space="preserve">a programspecifikus értékelési kérdések az NVH-nak a tagállamban meghatározott programspecifikus célkitűzéseihez kapcsolódnak. </w:t>
      </w:r>
    </w:p>
    <w:p w:rsidR="00170A1A" w:rsidRPr="004E17E1" w:rsidRDefault="00170A1A" w:rsidP="00B51C05">
      <w:pPr>
        <w:pStyle w:val="HStandard"/>
      </w:pPr>
      <w:r w:rsidRPr="004E17E1">
        <w:t>Az értékelési kérdések határozzák meg az értékelés során vizsgálandó fő témákat. Kidolgozásukat és prioritásaik meghatározását az irányító hatóság és egyéb érdekelt felek végzik. Az előző részben leírt minden egyes értékelési feladathoz tartozik egy vagy két értékelési kérdés.</w:t>
      </w:r>
    </w:p>
    <w:p w:rsidR="00170A1A" w:rsidRPr="004E17E1" w:rsidRDefault="00170A1A" w:rsidP="00B51C05">
      <w:pPr>
        <w:pStyle w:val="HStandard"/>
      </w:pPr>
      <w:r w:rsidRPr="004E17E1">
        <w:t xml:space="preserve">Az értékelési kérdések segítenek az értékelés hangsúlyos pontjainak és szerkezetének meghatározásában, irányítják az értékeléstervezési folyamatot, elősegítik az értékelési módszer kiválasztását, és tájékoztatást nyújtanak az értékelési eredményeknek a beavatkozások javítását célzó használatára vonatkozóan. Az értékelési kérdések az NVH-célkitűzésekhez vagy az értékelendő konkrét témához kapcsolódnak. Az értékelési kérdéseket a megválaszolásukhoz használandó mutatókhoz kapcsolódó elbírálási kritériumokkal tovább kell pontosítani. Az értékelőket felkérik a </w:t>
      </w:r>
      <w:r w:rsidRPr="004E17E1">
        <w:lastRenderedPageBreak/>
        <w:t xml:space="preserve">meglévő értékelési kérdésekre vonatkozó további elbírálási kritériumok és mutatók javasolására, valamint további programspecifikus NVH-értékelési kérdések kidolgozására, ha ez hasznos az értékelés minősége szempontjából.  </w:t>
      </w:r>
    </w:p>
    <w:p w:rsidR="00170A1A" w:rsidRPr="004E17E1" w:rsidRDefault="00170A1A" w:rsidP="00B51C05">
      <w:pPr>
        <w:pStyle w:val="HStandard"/>
        <w:rPr>
          <w:i/>
        </w:rPr>
      </w:pPr>
      <w:r w:rsidRPr="004E17E1">
        <w:rPr>
          <w:i/>
        </w:rPr>
        <w:t xml:space="preserve">Példa </w:t>
      </w:r>
      <w:r w:rsidRPr="004E17E1">
        <w:rPr>
          <w:b/>
          <w:i/>
        </w:rPr>
        <w:t>az NVH programspecifikus célkitűzéseihez kapcsolódó, az NVH-ra vonatkozó programspecifikus értékelési kérdésekre.</w:t>
      </w:r>
    </w:p>
    <w:p w:rsidR="00170A1A" w:rsidRPr="004E17E1" w:rsidRDefault="00170A1A" w:rsidP="00B51C05">
      <w:pPr>
        <w:pStyle w:val="HStandard"/>
        <w:rPr>
          <w:i/>
        </w:rPr>
      </w:pPr>
      <w:r w:rsidRPr="004E17E1">
        <w:rPr>
          <w:i/>
        </w:rPr>
        <w:t>Az NVH programspecifikus célkitűzése: „Az érdekeltek közötti együttműködés javítása a vidéki területeken az NVH-tevékenységek révén”</w:t>
      </w:r>
    </w:p>
    <w:p w:rsidR="00170A1A" w:rsidRPr="004E17E1" w:rsidRDefault="00170A1A" w:rsidP="00B51C05">
      <w:pPr>
        <w:pStyle w:val="HStandard"/>
        <w:rPr>
          <w:i/>
        </w:rPr>
      </w:pPr>
      <w:r w:rsidRPr="004E17E1">
        <w:rPr>
          <w:i/>
        </w:rPr>
        <w:t xml:space="preserve">Programspecifikus értékelési kérdés: „Milyen mértékben járultak hozzá az NVH-tevékenységek az érdekeltek közötti jobb kommunikációhoz a vidéki területeken?”  </w:t>
      </w:r>
    </w:p>
    <w:p w:rsidR="00170A1A" w:rsidRPr="004E17E1" w:rsidRDefault="00170A1A" w:rsidP="00B51C05">
      <w:pPr>
        <w:pStyle w:val="HStandard"/>
        <w:rPr>
          <w:i/>
        </w:rPr>
      </w:pPr>
      <w:r w:rsidRPr="004E17E1">
        <w:rPr>
          <w:i/>
        </w:rPr>
        <w:t xml:space="preserve">Elbírálási kritériumok: Az érdekeltek közötti együttműködés javult. </w:t>
      </w:r>
    </w:p>
    <w:p w:rsidR="00170A1A" w:rsidRPr="004E17E1" w:rsidRDefault="00170A1A" w:rsidP="00B51C05">
      <w:pPr>
        <w:pStyle w:val="HStandard"/>
        <w:rPr>
          <w:i/>
        </w:rPr>
      </w:pPr>
      <w:r w:rsidRPr="004E17E1">
        <w:rPr>
          <w:i/>
        </w:rPr>
        <w:t>Mutató: az NVH tevékenységeinek köszönhetően kialakított/megvalósított együttműködési projektek száma.</w:t>
      </w:r>
    </w:p>
    <w:p w:rsidR="00170A1A" w:rsidRPr="004E17E1" w:rsidRDefault="00170A1A" w:rsidP="00B51C05">
      <w:pPr>
        <w:pStyle w:val="HStandard"/>
        <w:rPr>
          <w:i/>
        </w:rPr>
      </w:pPr>
      <w:r w:rsidRPr="004E17E1">
        <w:rPr>
          <w:i/>
        </w:rPr>
        <w:t xml:space="preserve">Példa </w:t>
      </w:r>
      <w:r w:rsidRPr="004E17E1">
        <w:rPr>
          <w:b/>
          <w:i/>
        </w:rPr>
        <w:t>a konkrét értékelési témákhoz kapcsolódó programspecifikus értékelési kérdésekre.</w:t>
      </w:r>
    </w:p>
    <w:p w:rsidR="00170A1A" w:rsidRPr="004E17E1" w:rsidRDefault="00170A1A" w:rsidP="00B51C05">
      <w:pPr>
        <w:pStyle w:val="HStandard"/>
        <w:rPr>
          <w:i/>
        </w:rPr>
      </w:pPr>
      <w:r w:rsidRPr="004E17E1">
        <w:rPr>
          <w:i/>
        </w:rPr>
        <w:t>Téma: az NVH irányítása és végrehajtása</w:t>
      </w:r>
    </w:p>
    <w:p w:rsidR="00170A1A" w:rsidRPr="004E17E1" w:rsidRDefault="00170A1A" w:rsidP="00B51C05">
      <w:pPr>
        <w:pStyle w:val="HStandard"/>
        <w:rPr>
          <w:i/>
        </w:rPr>
      </w:pPr>
      <w:r w:rsidRPr="004E17E1">
        <w:rPr>
          <w:i/>
        </w:rPr>
        <w:t>Az NVH-val kapcsolatos programspecifikus értékelési kérdés: „Hatékony az NVH irányítási és végrehajtási rendszere?”</w:t>
      </w:r>
    </w:p>
    <w:p w:rsidR="00170A1A" w:rsidRPr="004E17E1" w:rsidRDefault="00170A1A" w:rsidP="00B51C05">
      <w:pPr>
        <w:pStyle w:val="HStandard"/>
        <w:rPr>
          <w:i/>
        </w:rPr>
      </w:pPr>
      <w:r w:rsidRPr="004E17E1">
        <w:rPr>
          <w:i/>
        </w:rPr>
        <w:t xml:space="preserve">Elbírálási kritériumok: az NVH irányítása és végrehajtása lehetővé tette számos érintett bevonását az NVH-tevékenységekbe. </w:t>
      </w:r>
    </w:p>
    <w:p w:rsidR="00170A1A" w:rsidRPr="004E17E1" w:rsidRDefault="00170A1A" w:rsidP="00B51C05">
      <w:pPr>
        <w:pStyle w:val="HStandard"/>
        <w:rPr>
          <w:i/>
        </w:rPr>
      </w:pPr>
      <w:r w:rsidRPr="004E17E1">
        <w:rPr>
          <w:i/>
        </w:rPr>
        <w:t xml:space="preserve">Mutató: az NVH-tevékenységekbe bevont érintettek száma típusonként. </w:t>
      </w:r>
    </w:p>
    <w:p w:rsidR="00170A1A" w:rsidRPr="004E17E1" w:rsidRDefault="00170A1A" w:rsidP="006A099F">
      <w:pPr>
        <w:pStyle w:val="HHeading5"/>
      </w:pPr>
      <w:bookmarkStart w:id="298" w:name="_Toc422307930"/>
      <w:r w:rsidRPr="004E17E1">
        <w:t>Módszertani megközelítés</w:t>
      </w:r>
      <w:bookmarkEnd w:id="298"/>
    </w:p>
    <w:p w:rsidR="00170A1A" w:rsidRPr="004E17E1" w:rsidRDefault="00170A1A" w:rsidP="00B51C05">
      <w:pPr>
        <w:pStyle w:val="HStandard"/>
      </w:pPr>
      <w:r w:rsidRPr="004E17E1">
        <w:t xml:space="preserve">Ez a szakasz meghatározza az értékelés módszertani megközelítését; ez történhet a pályázók arra történő felkérésével, hogy írják le ajánlatukban az értékelési témákhoz és tevékenységekhez általuk javasolt megközelítést, vagy úgy, hogy a szerződő felet adott módszertan alkalmazására kérik. Általában javasolt rugalmasságot biztosítani a szerződő félnek, hogy saját javaslatot tegyen az NVH sikereinek, eredményeinek és hatásainak értékelésére alkalmazott megközelítésre, és azt a módszert alkalmazza, amelyiket megfelelően megalapozottnak talál az NVH értékeléséhez. A szerződő félnek az ajánlatban részletesen ismertetnie kell a megközelítést és a módszereket. Minden esetben javasolt, hogy az irányító hatóság megfelelő kapacitást építsen ki a megközelítés minőségének és a módszerek megalapozottságának elbírálásához. </w:t>
      </w:r>
    </w:p>
    <w:p w:rsidR="00170A1A" w:rsidRPr="004E17E1" w:rsidRDefault="00170A1A" w:rsidP="00B51C05">
      <w:pPr>
        <w:pStyle w:val="HStandard"/>
        <w:rPr>
          <w:i/>
        </w:rPr>
      </w:pPr>
      <w:r w:rsidRPr="004E17E1">
        <w:rPr>
          <w:i/>
        </w:rPr>
        <w:t>Példa:</w:t>
      </w:r>
    </w:p>
    <w:p w:rsidR="00170A1A" w:rsidRPr="004E17E1" w:rsidRDefault="00170A1A" w:rsidP="00B51C05">
      <w:pPr>
        <w:pStyle w:val="HStandard"/>
        <w:rPr>
          <w:i/>
        </w:rPr>
      </w:pPr>
      <w:r w:rsidRPr="004E17E1">
        <w:rPr>
          <w:i/>
        </w:rPr>
        <w:t>Fontos tudomásul venni, hogy a vidékfejlesztési hálózatok a „puha” beavatkozások közé tartoznak, amelyek hatását gyakran nehéz értékeléssel meghatározni. Az NVH-k/NVHP-k értékelésére az alábbi módszerek használhatók:</w:t>
      </w:r>
    </w:p>
    <w:p w:rsidR="00170A1A" w:rsidRPr="004E17E1" w:rsidRDefault="00170A1A" w:rsidP="00B51C05">
      <w:pPr>
        <w:pStyle w:val="Hlistbullet2"/>
        <w:rPr>
          <w:i/>
        </w:rPr>
      </w:pPr>
      <w:r w:rsidRPr="004E17E1">
        <w:rPr>
          <w:i/>
        </w:rPr>
        <w:t>a monitoringadatok elméleti elemzése;</w:t>
      </w:r>
    </w:p>
    <w:p w:rsidR="00170A1A" w:rsidRPr="004E17E1" w:rsidRDefault="00170A1A" w:rsidP="00B51C05">
      <w:pPr>
        <w:pStyle w:val="Hlistbullet2"/>
        <w:rPr>
          <w:i/>
        </w:rPr>
      </w:pPr>
      <w:r w:rsidRPr="004E17E1">
        <w:rPr>
          <w:i/>
        </w:rPr>
        <w:t>elméletalapú megközelítés a beavatkozási logika és az értékelés keretrendszerének kialakítására (például a változás elmélete);</w:t>
      </w:r>
    </w:p>
    <w:p w:rsidR="00170A1A" w:rsidRPr="004E17E1" w:rsidRDefault="00170A1A" w:rsidP="00B51C05">
      <w:pPr>
        <w:pStyle w:val="Hlistbullet2"/>
        <w:rPr>
          <w:i/>
        </w:rPr>
      </w:pPr>
      <w:r w:rsidRPr="004E17E1">
        <w:rPr>
          <w:i/>
        </w:rPr>
        <w:t>esettanulmányok</w:t>
      </w:r>
      <w:r w:rsidRPr="004E17E1">
        <w:rPr>
          <w:rStyle w:val="FootnoteReference"/>
        </w:rPr>
        <w:footnoteReference w:id="124"/>
      </w:r>
      <w:r w:rsidRPr="004E17E1">
        <w:rPr>
          <w:i/>
        </w:rPr>
        <w:t>;</w:t>
      </w:r>
    </w:p>
    <w:p w:rsidR="00170A1A" w:rsidRPr="004E17E1" w:rsidRDefault="00170A1A" w:rsidP="00B51C05">
      <w:pPr>
        <w:pStyle w:val="Hlistbullet2"/>
        <w:rPr>
          <w:i/>
        </w:rPr>
      </w:pPr>
      <w:r w:rsidRPr="004E17E1">
        <w:rPr>
          <w:i/>
        </w:rPr>
        <w:lastRenderedPageBreak/>
        <w:t>résztvevők által készített helyszíni értékelés, megfigyelői részvétel rendezvényeken;</w:t>
      </w:r>
    </w:p>
    <w:p w:rsidR="00170A1A" w:rsidRPr="004E17E1" w:rsidRDefault="00170A1A" w:rsidP="00B51C05">
      <w:pPr>
        <w:pStyle w:val="Hlistbullet2"/>
        <w:rPr>
          <w:i/>
        </w:rPr>
      </w:pPr>
      <w:r w:rsidRPr="004E17E1">
        <w:rPr>
          <w:i/>
        </w:rPr>
        <w:t>érdekeltek szélesebb körét érintő felmérések;</w:t>
      </w:r>
    </w:p>
    <w:p w:rsidR="00170A1A" w:rsidRPr="004E17E1" w:rsidRDefault="00170A1A" w:rsidP="00B51C05">
      <w:pPr>
        <w:pStyle w:val="Hlistbullet2"/>
        <w:rPr>
          <w:i/>
        </w:rPr>
      </w:pPr>
      <w:r w:rsidRPr="004E17E1">
        <w:t>mélyinterjúk és fókuszcsoportok</w:t>
      </w:r>
      <w:r w:rsidRPr="004E17E1">
        <w:rPr>
          <w:rFonts w:ascii="ZWAdobeF" w:hAnsi="ZWAdobeF"/>
          <w:color w:val="auto"/>
          <w:sz w:val="2"/>
          <w:szCs w:val="2"/>
        </w:rPr>
        <w:t>124F</w:t>
      </w:r>
      <w:r w:rsidRPr="004E17E1">
        <w:rPr>
          <w:rStyle w:val="FootnoteReference"/>
        </w:rPr>
        <w:footnoteReference w:id="125"/>
      </w:r>
      <w:r w:rsidRPr="004E17E1">
        <w:rPr>
          <w:i/>
        </w:rPr>
        <w:t xml:space="preserve">; </w:t>
      </w:r>
    </w:p>
    <w:p w:rsidR="00170A1A" w:rsidRPr="004E17E1" w:rsidRDefault="00170A1A" w:rsidP="00B51C05">
      <w:pPr>
        <w:pStyle w:val="Hlistbullet2"/>
        <w:rPr>
          <w:i/>
        </w:rPr>
      </w:pPr>
      <w:r w:rsidRPr="004E17E1">
        <w:rPr>
          <w:i/>
        </w:rPr>
        <w:t>az érdekelt felek elemzése</w:t>
      </w:r>
      <w:r w:rsidRPr="004E17E1">
        <w:rPr>
          <w:rStyle w:val="FootnoteReference"/>
        </w:rPr>
        <w:footnoteReference w:id="126"/>
      </w:r>
      <w:r w:rsidRPr="004E17E1">
        <w:rPr>
          <w:i/>
        </w:rPr>
        <w:t xml:space="preserve">; </w:t>
      </w:r>
    </w:p>
    <w:p w:rsidR="00170A1A" w:rsidRPr="004E17E1" w:rsidRDefault="00170A1A" w:rsidP="00B51C05">
      <w:pPr>
        <w:pStyle w:val="Hlistbullet2"/>
        <w:rPr>
          <w:i/>
        </w:rPr>
      </w:pPr>
      <w:r w:rsidRPr="004E17E1">
        <w:rPr>
          <w:i/>
        </w:rPr>
        <w:t>hálózatifunkció-elemzés</w:t>
      </w:r>
      <w:r w:rsidRPr="004E17E1">
        <w:rPr>
          <w:rStyle w:val="FootnoteReference"/>
        </w:rPr>
        <w:footnoteReference w:id="127"/>
      </w:r>
      <w:r w:rsidRPr="004E17E1">
        <w:rPr>
          <w:i/>
        </w:rPr>
        <w:t>;</w:t>
      </w:r>
    </w:p>
    <w:p w:rsidR="00170A1A" w:rsidRPr="004E17E1" w:rsidRDefault="00170A1A" w:rsidP="00B51C05">
      <w:pPr>
        <w:pStyle w:val="Hlistbullet2"/>
        <w:rPr>
          <w:i/>
        </w:rPr>
      </w:pPr>
      <w:r w:rsidRPr="004E17E1">
        <w:rPr>
          <w:i/>
        </w:rPr>
        <w:t>hálózatok és szervezetek diagnosztizálása</w:t>
      </w:r>
      <w:r w:rsidRPr="004E17E1">
        <w:rPr>
          <w:rStyle w:val="FootnoteReference"/>
        </w:rPr>
        <w:footnoteReference w:id="128"/>
      </w:r>
      <w:r w:rsidRPr="004E17E1">
        <w:rPr>
          <w:i/>
        </w:rPr>
        <w:t>;</w:t>
      </w:r>
    </w:p>
    <w:p w:rsidR="00170A1A" w:rsidRPr="004E17E1" w:rsidRDefault="00170A1A" w:rsidP="00B51C05">
      <w:pPr>
        <w:pStyle w:val="Hlistbullet2"/>
      </w:pPr>
      <w:r w:rsidRPr="004E17E1">
        <w:rPr>
          <w:i/>
        </w:rPr>
        <w:t>kapcsolathálózat elemzése</w:t>
      </w:r>
      <w:r w:rsidRPr="004E17E1">
        <w:rPr>
          <w:rStyle w:val="FootnoteReference"/>
        </w:rPr>
        <w:footnoteReference w:id="129"/>
      </w:r>
      <w:r w:rsidRPr="004E17E1">
        <w:t>:</w:t>
      </w:r>
    </w:p>
    <w:p w:rsidR="00170A1A" w:rsidRPr="004E17E1" w:rsidRDefault="00170A1A" w:rsidP="006A099F">
      <w:pPr>
        <w:pStyle w:val="HHeading5"/>
      </w:pPr>
      <w:bookmarkStart w:id="299" w:name="_Toc422307931"/>
      <w:r w:rsidRPr="004E17E1">
        <w:t>Információforrások</w:t>
      </w:r>
      <w:bookmarkEnd w:id="299"/>
    </w:p>
    <w:p w:rsidR="00170A1A" w:rsidRPr="004E17E1" w:rsidRDefault="00170A1A" w:rsidP="00B51C05">
      <w:pPr>
        <w:pStyle w:val="H-Standard"/>
      </w:pPr>
      <w:r w:rsidRPr="004E17E1">
        <w:t>A feladatmeghatározásnak át kell tekintenie az értékelési feladathoz kapcsolódó, rendelkezésre álló adat- és információforrásokat. Ez magában foglalja a monitoringrendszerből, egyéb rendelkezésre álló adatbázisokból és dokumentumokból gyűjtött információk, az információval rendelkező személyek és az értékelés módjának meghatározását, valamint hivatkozást minden vonatkozó, már elvégzett elemzésre és kutatómunkára. Segít továbbá kiemelni a rendelkezésre nem álló, az értékelő által összegyűjtendő információkat és adatokat. Ezek az információk az ajánlat reális értékeléséhez is elengedhetetlenek.</w:t>
      </w:r>
    </w:p>
    <w:p w:rsidR="00170A1A" w:rsidRPr="004E17E1" w:rsidRDefault="00170A1A" w:rsidP="00B51C05">
      <w:pPr>
        <w:pStyle w:val="H-Standard"/>
        <w:rPr>
          <w:i/>
        </w:rPr>
      </w:pPr>
      <w:r w:rsidRPr="004E17E1">
        <w:rPr>
          <w:i/>
        </w:rPr>
        <w:t>Példa rendelkezésre álló adat- és információforrásokra</w:t>
      </w:r>
    </w:p>
    <w:p w:rsidR="00170A1A" w:rsidRPr="004E17E1" w:rsidRDefault="00170A1A" w:rsidP="00B51C05">
      <w:pPr>
        <w:pStyle w:val="Hlistbullet2"/>
        <w:rPr>
          <w:i/>
        </w:rPr>
      </w:pPr>
      <w:r w:rsidRPr="004E17E1">
        <w:rPr>
          <w:i/>
        </w:rPr>
        <w:t>az NVH megalapításával kapcsolatos megvalósíthatósági tanulmány és igényfelmérés,</w:t>
      </w:r>
    </w:p>
    <w:p w:rsidR="00170A1A" w:rsidRPr="004E17E1" w:rsidRDefault="00170A1A" w:rsidP="00B51C05">
      <w:pPr>
        <w:pStyle w:val="Hlistbullet2"/>
        <w:rPr>
          <w:i/>
        </w:rPr>
      </w:pPr>
      <w:r w:rsidRPr="004E17E1">
        <w:rPr>
          <w:i/>
        </w:rPr>
        <w:t>NVH-cselekvésiterv, beleértve a kapacitásépítési tervet és a kommunikációs tervet,</w:t>
      </w:r>
    </w:p>
    <w:p w:rsidR="00170A1A" w:rsidRPr="004E17E1" w:rsidRDefault="00170A1A" w:rsidP="00B51C05">
      <w:pPr>
        <w:pStyle w:val="Hlistbullet2"/>
        <w:rPr>
          <w:i/>
        </w:rPr>
      </w:pPr>
      <w:r w:rsidRPr="004E17E1">
        <w:rPr>
          <w:i/>
        </w:rPr>
        <w:t>az NVH önértékelési adatai,</w:t>
      </w:r>
    </w:p>
    <w:p w:rsidR="00170A1A" w:rsidRPr="004E17E1" w:rsidRDefault="00170A1A" w:rsidP="00B51C05">
      <w:pPr>
        <w:pStyle w:val="Hlistbullet2"/>
        <w:rPr>
          <w:i/>
        </w:rPr>
      </w:pPr>
      <w:r w:rsidRPr="004E17E1">
        <w:rPr>
          <w:i/>
        </w:rPr>
        <w:t>az NVH projektadatbázisa,</w:t>
      </w:r>
    </w:p>
    <w:p w:rsidR="00170A1A" w:rsidRPr="004E17E1" w:rsidRDefault="00170A1A" w:rsidP="00B51C05">
      <w:pPr>
        <w:pStyle w:val="Hlistbullet2"/>
        <w:rPr>
          <w:i/>
        </w:rPr>
      </w:pPr>
      <w:r w:rsidRPr="004E17E1">
        <w:rPr>
          <w:i/>
        </w:rPr>
        <w:t>az NVH-tevékenységekhez kapcsolódó kifizetési adatok,</w:t>
      </w:r>
    </w:p>
    <w:p w:rsidR="00170A1A" w:rsidRPr="004E17E1" w:rsidRDefault="00170A1A" w:rsidP="00B51C05">
      <w:pPr>
        <w:pStyle w:val="Hlistbullet2"/>
        <w:rPr>
          <w:i/>
        </w:rPr>
      </w:pPr>
      <w:r w:rsidRPr="004E17E1">
        <w:rPr>
          <w:i/>
        </w:rPr>
        <w:t>VFP-monitoringadatok (műveleti adatbázis),</w:t>
      </w:r>
    </w:p>
    <w:p w:rsidR="00170A1A" w:rsidRPr="004E17E1" w:rsidRDefault="00170A1A" w:rsidP="00B51C05">
      <w:pPr>
        <w:pStyle w:val="Hlistbullet2"/>
        <w:rPr>
          <w:i/>
        </w:rPr>
      </w:pPr>
      <w:r w:rsidRPr="004E17E1">
        <w:rPr>
          <w:i/>
        </w:rPr>
        <w:t>az NVH utólagos értékelése a 2007–2013-as programozási időszakban.</w:t>
      </w:r>
    </w:p>
    <w:p w:rsidR="00170A1A" w:rsidRPr="004E17E1" w:rsidRDefault="00170A1A" w:rsidP="006A099F">
      <w:pPr>
        <w:pStyle w:val="HHeading5"/>
      </w:pPr>
      <w:bookmarkStart w:id="300" w:name="_Toc422307932"/>
      <w:r w:rsidRPr="004E17E1">
        <w:t>Menetrend és benyújtandó dokumentumok</w:t>
      </w:r>
      <w:bookmarkEnd w:id="300"/>
    </w:p>
    <w:p w:rsidR="00170A1A" w:rsidRPr="004E17E1" w:rsidRDefault="00170A1A" w:rsidP="00B51C05">
      <w:pPr>
        <w:pStyle w:val="H-Standard"/>
      </w:pPr>
      <w:r w:rsidRPr="004E17E1">
        <w:t>A feladatmeghatározás megadja az értékelési szerződés időtartamát és a dokumentumok benyújtásának ütemezését. Rögzíteni kell továbbá a benyújtandó dokumentumokhoz kapcsolódó mérföldköveket és határidőket. A feladatmeghatározás tovább pontosíthatja a benyújtandó fő dokumentumok célját és célközönségét.</w:t>
      </w:r>
    </w:p>
    <w:p w:rsidR="00170A1A" w:rsidRPr="004E17E1" w:rsidRDefault="00170A1A" w:rsidP="00B51C05">
      <w:pPr>
        <w:pStyle w:val="H-Standard"/>
      </w:pPr>
      <w:r w:rsidRPr="004E17E1">
        <w:t xml:space="preserve">A benyújtandó dokumentumokat, azok hosszát, formátumát és tartalmát alaposan le kell írni (például értékelési jelentések tartalma, hozzájárulás a szokásos és bővített éves végrehajtási jelentéshez, vezetői összefoglalók [angolul], egyéb szükséges benyújtandó dokumentumok az értékelési eredmények szélesebb körű terjesztéséhez). </w:t>
      </w:r>
    </w:p>
    <w:p w:rsidR="00170A1A" w:rsidRPr="004E17E1" w:rsidRDefault="00170A1A" w:rsidP="00B51C05">
      <w:pPr>
        <w:pStyle w:val="H-Standard"/>
      </w:pPr>
      <w:r w:rsidRPr="004E17E1">
        <w:lastRenderedPageBreak/>
        <w:t>A várt benyújtandó dokumentumok és (időközi) kifizetések közötti kapcsolatot a feladatmeghatározás számlázási szabályai adják meg.</w:t>
      </w:r>
    </w:p>
    <w:p w:rsidR="00170A1A" w:rsidRPr="004E17E1" w:rsidRDefault="00170A1A" w:rsidP="00B51C05">
      <w:pPr>
        <w:pStyle w:val="H-Standard"/>
        <w:rPr>
          <w:i/>
        </w:rPr>
      </w:pPr>
      <w:r w:rsidRPr="004E17E1">
        <w:rPr>
          <w:i/>
        </w:rPr>
        <w:t>Példa:</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170A1A" w:rsidRPr="004E17E1" w:rsidTr="00754C47">
        <w:trPr>
          <w:tblHeader/>
          <w:jc w:val="center"/>
        </w:trPr>
        <w:tc>
          <w:tcPr>
            <w:tcW w:w="1555" w:type="dxa"/>
            <w:shd w:val="clear" w:color="auto" w:fill="E7E6E6" w:themeFill="background2"/>
          </w:tcPr>
          <w:p w:rsidR="00170A1A" w:rsidRPr="004E17E1" w:rsidRDefault="00170A1A" w:rsidP="00B51C05">
            <w:pPr>
              <w:pStyle w:val="H-Standard"/>
              <w:jc w:val="center"/>
              <w:rPr>
                <w:b/>
                <w:i/>
                <w:color w:val="5B9BD5" w:themeColor="accent1"/>
                <w:sz w:val="18"/>
              </w:rPr>
            </w:pPr>
            <w:r w:rsidRPr="004E17E1">
              <w:rPr>
                <w:b/>
                <w:i/>
                <w:color w:val="5B9BD5" w:themeColor="accent1"/>
                <w:sz w:val="18"/>
              </w:rPr>
              <w:t>Ütemezés</w:t>
            </w:r>
          </w:p>
        </w:tc>
        <w:tc>
          <w:tcPr>
            <w:tcW w:w="2254" w:type="dxa"/>
            <w:shd w:val="clear" w:color="auto" w:fill="E7E6E6" w:themeFill="background2"/>
          </w:tcPr>
          <w:p w:rsidR="00170A1A" w:rsidRPr="004E17E1" w:rsidRDefault="00170A1A" w:rsidP="00B51C05">
            <w:pPr>
              <w:pStyle w:val="H-Standard"/>
              <w:jc w:val="center"/>
              <w:rPr>
                <w:b/>
                <w:i/>
                <w:color w:val="5B9BD5" w:themeColor="accent1"/>
                <w:sz w:val="18"/>
              </w:rPr>
            </w:pPr>
            <w:r w:rsidRPr="004E17E1">
              <w:rPr>
                <w:b/>
                <w:i/>
                <w:color w:val="5B9BD5" w:themeColor="accent1"/>
                <w:sz w:val="18"/>
              </w:rPr>
              <w:t>Benyújtandó dokumentum</w:t>
            </w:r>
          </w:p>
        </w:tc>
        <w:tc>
          <w:tcPr>
            <w:tcW w:w="3699" w:type="dxa"/>
            <w:shd w:val="clear" w:color="auto" w:fill="E7E6E6" w:themeFill="background2"/>
          </w:tcPr>
          <w:p w:rsidR="00170A1A" w:rsidRPr="004E17E1" w:rsidRDefault="00170A1A" w:rsidP="00B51C05">
            <w:pPr>
              <w:pStyle w:val="H-Standard"/>
              <w:jc w:val="center"/>
              <w:rPr>
                <w:b/>
                <w:i/>
                <w:color w:val="5B9BD5" w:themeColor="accent1"/>
                <w:sz w:val="18"/>
              </w:rPr>
            </w:pPr>
            <w:r w:rsidRPr="004E17E1">
              <w:rPr>
                <w:b/>
                <w:i/>
                <w:color w:val="5B9BD5" w:themeColor="accent1"/>
                <w:sz w:val="18"/>
              </w:rPr>
              <w:t>A benyújtandó dokumentum tartalma</w:t>
            </w:r>
          </w:p>
        </w:tc>
      </w:tr>
      <w:tr w:rsidR="00170A1A" w:rsidRPr="004E17E1" w:rsidTr="00754C47">
        <w:trPr>
          <w:jc w:val="center"/>
        </w:trPr>
        <w:tc>
          <w:tcPr>
            <w:tcW w:w="1555" w:type="dxa"/>
          </w:tcPr>
          <w:p w:rsidR="00170A1A" w:rsidRPr="004E17E1" w:rsidRDefault="00170A1A" w:rsidP="00445E97">
            <w:pPr>
              <w:pStyle w:val="H-Standard"/>
              <w:jc w:val="left"/>
              <w:rPr>
                <w:i/>
                <w:sz w:val="18"/>
              </w:rPr>
            </w:pPr>
            <w:r w:rsidRPr="004E17E1">
              <w:rPr>
                <w:i/>
                <w:sz w:val="18"/>
              </w:rPr>
              <w:t>2017. március</w:t>
            </w:r>
          </w:p>
        </w:tc>
        <w:tc>
          <w:tcPr>
            <w:tcW w:w="2254" w:type="dxa"/>
          </w:tcPr>
          <w:p w:rsidR="00170A1A" w:rsidRPr="004E17E1" w:rsidRDefault="00170A1A" w:rsidP="00445E97">
            <w:pPr>
              <w:pStyle w:val="H-Standard"/>
              <w:jc w:val="left"/>
              <w:rPr>
                <w:i/>
                <w:sz w:val="18"/>
              </w:rPr>
            </w:pPr>
            <w:r w:rsidRPr="004E17E1">
              <w:rPr>
                <w:i/>
                <w:sz w:val="18"/>
              </w:rPr>
              <w:t>Az irányítócsoport által jóváhagyott első jelentés (legfeljebb 80 oldal)</w:t>
            </w:r>
          </w:p>
          <w:p w:rsidR="00170A1A" w:rsidRPr="004E17E1" w:rsidRDefault="00170A1A" w:rsidP="00445E97">
            <w:pPr>
              <w:pStyle w:val="H-Standard"/>
              <w:jc w:val="left"/>
              <w:rPr>
                <w:i/>
                <w:sz w:val="18"/>
              </w:rPr>
            </w:pPr>
            <w:r w:rsidRPr="004E17E1">
              <w:rPr>
                <w:i/>
                <w:sz w:val="18"/>
              </w:rPr>
              <w:t>Az első jelentésnek tartalmaznia kell a legfeljebb 4 oldalas vezetői összefoglalót, a borítólapon elhelyezett konkrét azonosítókat és egy standard jogi nyilatkozatot.</w:t>
            </w:r>
          </w:p>
          <w:p w:rsidR="00170A1A" w:rsidRPr="004E17E1" w:rsidRDefault="00170A1A" w:rsidP="00B51C05">
            <w:pPr>
              <w:pStyle w:val="H-Standard"/>
              <w:jc w:val="left"/>
              <w:rPr>
                <w:i/>
                <w:sz w:val="18"/>
              </w:rPr>
            </w:pPr>
            <w:r w:rsidRPr="004E17E1">
              <w:rPr>
                <w:i/>
                <w:sz w:val="18"/>
              </w:rPr>
              <w:t>Az első jelentést teljes terjedelmében közzéteszik az VFP honlapján.</w:t>
            </w:r>
          </w:p>
        </w:tc>
        <w:tc>
          <w:tcPr>
            <w:tcW w:w="3699" w:type="dxa"/>
          </w:tcPr>
          <w:p w:rsidR="00170A1A" w:rsidRPr="004E17E1" w:rsidRDefault="00170A1A" w:rsidP="00445E97">
            <w:pPr>
              <w:pStyle w:val="H-Standard"/>
              <w:jc w:val="left"/>
              <w:rPr>
                <w:i/>
                <w:sz w:val="18"/>
              </w:rPr>
            </w:pPr>
            <w:r w:rsidRPr="004E17E1">
              <w:rPr>
                <w:i/>
                <w:sz w:val="18"/>
              </w:rPr>
              <w:t>Az értékelési keret és az adatforrások, többek között az önértékelés rendelkezésre állásának felülvizsgálata.</w:t>
            </w:r>
          </w:p>
          <w:p w:rsidR="00170A1A" w:rsidRPr="004E17E1" w:rsidRDefault="00170A1A" w:rsidP="00445E97">
            <w:pPr>
              <w:pStyle w:val="H-Standard"/>
              <w:jc w:val="left"/>
              <w:rPr>
                <w:i/>
                <w:sz w:val="18"/>
              </w:rPr>
            </w:pPr>
            <w:r w:rsidRPr="004E17E1">
              <w:rPr>
                <w:i/>
                <w:sz w:val="18"/>
              </w:rPr>
              <w:t>Az NVH irányítási és végrehajtás</w:t>
            </w:r>
            <w:r>
              <w:rPr>
                <w:i/>
                <w:sz w:val="18"/>
              </w:rPr>
              <w:t>i</w:t>
            </w:r>
            <w:r w:rsidRPr="004E17E1">
              <w:rPr>
                <w:i/>
                <w:sz w:val="18"/>
              </w:rPr>
              <w:t xml:space="preserve"> rendszerének felülvizsgálata.</w:t>
            </w:r>
          </w:p>
          <w:p w:rsidR="00170A1A" w:rsidRPr="004E17E1" w:rsidRDefault="00170A1A" w:rsidP="00445E97">
            <w:pPr>
              <w:pStyle w:val="H-Standard"/>
              <w:jc w:val="left"/>
              <w:rPr>
                <w:i/>
                <w:sz w:val="18"/>
              </w:rPr>
            </w:pPr>
            <w:r w:rsidRPr="004E17E1">
              <w:rPr>
                <w:i/>
                <w:sz w:val="18"/>
              </w:rPr>
              <w:t>Az NVH előirányzott szolgáltatásai és tevékenységei relevanciájának felülvizsgálata.</w:t>
            </w:r>
          </w:p>
          <w:p w:rsidR="00170A1A" w:rsidRPr="004E17E1" w:rsidRDefault="00170A1A" w:rsidP="00445E97">
            <w:pPr>
              <w:pStyle w:val="H-Standard"/>
              <w:jc w:val="left"/>
              <w:rPr>
                <w:i/>
                <w:sz w:val="18"/>
              </w:rPr>
            </w:pPr>
            <w:r w:rsidRPr="004E17E1">
              <w:rPr>
                <w:i/>
                <w:sz w:val="18"/>
              </w:rPr>
              <w:t>Koherencia más hálózatokkal nemzeti és európai szinten.</w:t>
            </w:r>
          </w:p>
          <w:p w:rsidR="00170A1A" w:rsidRPr="004E17E1" w:rsidRDefault="00170A1A" w:rsidP="00445E97">
            <w:pPr>
              <w:pStyle w:val="H-Standard"/>
              <w:jc w:val="left"/>
              <w:rPr>
                <w:i/>
                <w:sz w:val="18"/>
              </w:rPr>
            </w:pPr>
            <w:r w:rsidRPr="004E17E1">
              <w:rPr>
                <w:i/>
                <w:sz w:val="18"/>
              </w:rPr>
              <w:t>Az NVH teljesítménye és kimenetei (a CMES-teljesítménymutatók figyelembevételével).</w:t>
            </w:r>
          </w:p>
          <w:p w:rsidR="00170A1A" w:rsidRPr="004E17E1" w:rsidRDefault="00170A1A" w:rsidP="00445E97">
            <w:pPr>
              <w:pStyle w:val="H-Standard"/>
              <w:jc w:val="left"/>
              <w:rPr>
                <w:i/>
                <w:sz w:val="18"/>
              </w:rPr>
            </w:pPr>
            <w:r w:rsidRPr="004E17E1">
              <w:rPr>
                <w:i/>
                <w:sz w:val="18"/>
              </w:rPr>
              <w:t>Az NVH szolgáltatásainak és tevékenységeinek optimalizálását célzó javaslatok.</w:t>
            </w:r>
          </w:p>
        </w:tc>
      </w:tr>
    </w:tbl>
    <w:p w:rsidR="00170A1A" w:rsidRPr="004E17E1" w:rsidRDefault="00170A1A" w:rsidP="006A099F">
      <w:pPr>
        <w:pStyle w:val="HHeading5"/>
      </w:pPr>
      <w:bookmarkStart w:id="301" w:name="_Toc422307933"/>
      <w:r w:rsidRPr="004E17E1">
        <w:t>Az értékelési szerződés kezelése</w:t>
      </w:r>
      <w:bookmarkEnd w:id="301"/>
    </w:p>
    <w:p w:rsidR="00170A1A" w:rsidRPr="004E17E1" w:rsidRDefault="00170A1A" w:rsidP="00B51C05">
      <w:pPr>
        <w:pStyle w:val="H-Standard"/>
      </w:pPr>
      <w:r w:rsidRPr="004E17E1">
        <w:t xml:space="preserve">Ez a szakasz az értékelési szerződés irányításának és kezelésének módját írja le. Ha van értékelésirányító csoport, a feladatmeghatározás felsorolhatja annak tagjait, és megadhatja a konkrét feladataikat. </w:t>
      </w:r>
    </w:p>
    <w:p w:rsidR="00170A1A" w:rsidRPr="004E17E1" w:rsidRDefault="00170A1A" w:rsidP="00B51C05">
      <w:pPr>
        <w:pStyle w:val="H-Standard"/>
      </w:pPr>
      <w:r w:rsidRPr="004E17E1">
        <w:t xml:space="preserve">Meg kell továbbá határozni az értékelők ajánlatkérő szervvel való együttműködésének módját (például a kapcsolattartókat, az ülések gyakoriságát, az adott célcsoportoknak tartott előadásokat). </w:t>
      </w:r>
    </w:p>
    <w:p w:rsidR="00170A1A" w:rsidRPr="004E17E1" w:rsidRDefault="00170A1A" w:rsidP="006A099F">
      <w:pPr>
        <w:pStyle w:val="HHeading5"/>
      </w:pPr>
      <w:bookmarkStart w:id="302" w:name="_Toc422307934"/>
      <w:r w:rsidRPr="004E17E1">
        <w:t>Költségvetés</w:t>
      </w:r>
      <w:bookmarkEnd w:id="302"/>
    </w:p>
    <w:p w:rsidR="00170A1A" w:rsidRPr="004E17E1" w:rsidRDefault="00170A1A" w:rsidP="00B51C05">
      <w:pPr>
        <w:pStyle w:val="H-Standard"/>
      </w:pPr>
      <w:r w:rsidRPr="004E17E1">
        <w:t xml:space="preserve">Az értékelési szerződés költségvetését pontosan meg kell határozni (az adatvásárlás költségeit külön kell felsorolni). Helyes gyakorlatnak minősül, ha az ajánlatkérő szerv maximális és minimális költségvetést határoz meg a pályázatokhoz. Így az értékelők reális pénzügyi ajánlatokat készíthetnek. </w:t>
      </w:r>
    </w:p>
    <w:p w:rsidR="00170A1A" w:rsidRPr="004E17E1" w:rsidRDefault="00170A1A" w:rsidP="006A099F">
      <w:pPr>
        <w:pStyle w:val="HHeading5"/>
      </w:pPr>
      <w:bookmarkStart w:id="303" w:name="_Toc422307935"/>
      <w:r w:rsidRPr="004E17E1">
        <w:t>A csoport minősítése</w:t>
      </w:r>
      <w:bookmarkEnd w:id="303"/>
    </w:p>
    <w:p w:rsidR="00170A1A" w:rsidRPr="004E17E1" w:rsidRDefault="00170A1A" w:rsidP="00B51C05">
      <w:pPr>
        <w:pStyle w:val="H-Standard"/>
      </w:pPr>
      <w:r w:rsidRPr="004E17E1">
        <w:t xml:space="preserve">Az értékelő csoport minősítésére vonatkozó követelmények szorosan kapcsolódnak a kért módszertanhoz és a projektirányítási igényekhez. Gyakran határoznak meg szakértői kategóriákat (például szakmai tapasztalat hossza, iskolai végzettség szerint). A rugalmasabb feladatmeghatározások az egyes beosztásokra vonatkozó követelmények rögzítése helyett csak azt határozzák meg, hogy az értékelő csoportban milyen szakértelemnek és tapasztalatnak kell rendelkezésre állnia. Ez nagyobb szabadságot ad a szerződő félnek a jól működő csoport összeállításához. </w:t>
      </w:r>
    </w:p>
    <w:p w:rsidR="00170A1A" w:rsidRPr="004E17E1" w:rsidRDefault="00170A1A" w:rsidP="00873F38">
      <w:pPr>
        <w:pStyle w:val="HHeading5"/>
      </w:pPr>
      <w:bookmarkStart w:id="304" w:name="_Toc422307937"/>
      <w:bookmarkStart w:id="305" w:name="_Toc422307936"/>
      <w:r w:rsidRPr="004E17E1">
        <w:lastRenderedPageBreak/>
        <w:t>Kizárási, kiválasztási és odaítélési kritériumok</w:t>
      </w:r>
      <w:bookmarkEnd w:id="304"/>
    </w:p>
    <w:p w:rsidR="00170A1A" w:rsidRPr="004E17E1" w:rsidRDefault="00170A1A" w:rsidP="00873F38">
      <w:pPr>
        <w:pStyle w:val="H-Standard"/>
      </w:pPr>
      <w:r w:rsidRPr="004E17E1">
        <w:t xml:space="preserve">A feladatmeghatározás a nemzeti </w:t>
      </w:r>
      <w:r>
        <w:t>közb</w:t>
      </w:r>
      <w:r w:rsidRPr="004E17E1">
        <w:t>eszerzési szabályozással összhangban részletezi a szerződő fél kiválasztásnak kritériumait. A kiválasztási kritériumokat három csoportba lehet sorolni: kizárási, kiválasztási és odaítélési kritériumok:</w:t>
      </w:r>
    </w:p>
    <w:p w:rsidR="00170A1A" w:rsidRPr="004E17E1" w:rsidRDefault="00170A1A" w:rsidP="00873F38">
      <w:pPr>
        <w:pStyle w:val="H-Standard"/>
      </w:pPr>
      <w:r w:rsidRPr="004E17E1">
        <w:t xml:space="preserve">A </w:t>
      </w:r>
      <w:r w:rsidRPr="004E17E1">
        <w:rPr>
          <w:b/>
        </w:rPr>
        <w:t>kizárási kritériumok</w:t>
      </w:r>
      <w:r w:rsidRPr="004E17E1">
        <w:t xml:space="preserve"> a szerződő fél kizárására vonatkoznak, amennyiben csődeljárás alatt áll, súlyos szakmai kötelességszegést követett el, vagy nem teljesítette az adóhatósággal szembeni, társadalombiztosítási stb. kötelezettségeit. A legtöbb esetben egy egyszerű nyilatkozat elegendő bizonyítékként. Igényelni lehet továbbá igazolást arra nézve, hogy a szerződő félnél nem áll fenn összeférhetetlenség (például nem vett részt a VFP megvalósításában). </w:t>
      </w:r>
    </w:p>
    <w:p w:rsidR="00170A1A" w:rsidRPr="004E17E1" w:rsidRDefault="00170A1A" w:rsidP="00873F38">
      <w:pPr>
        <w:pStyle w:val="H-Standard"/>
      </w:pPr>
      <w:r w:rsidRPr="004E17E1">
        <w:t xml:space="preserve">A </w:t>
      </w:r>
      <w:r w:rsidRPr="004E17E1">
        <w:rPr>
          <w:b/>
        </w:rPr>
        <w:t>kiválasztási kritériumok</w:t>
      </w:r>
      <w:r w:rsidRPr="004E17E1">
        <w:t xml:space="preserve"> általában a szerződő fél jogi helyzetére, gazdasági, pénzügyi, technikai és szakmai kapacitására vonatkoznak. Ha a nemzeti jogszabályok lehetővé teszik, az ajánlatkérő hatóság dönthet úgy, hogy a szükséges dokumentumoknak csak a másolatát kéri, és csupán a nyertes pályázónak kell az eredeti dokumentumokat benyújtania. Ez egyszerűbbé teszi a pályázati eljárást. </w:t>
      </w:r>
    </w:p>
    <w:p w:rsidR="00170A1A" w:rsidRPr="004E17E1" w:rsidRDefault="00170A1A" w:rsidP="00873F38">
      <w:pPr>
        <w:pStyle w:val="H-Standard"/>
      </w:pPr>
      <w:r w:rsidRPr="004E17E1">
        <w:t>A feladatmeghatározás ezenkívül a szakértők és a szakértelem kategóriáit is meghatározza, ideértve a szükséges iskolai végzettséget és szakmai tapasztalatot. Az összehasonlító értékelés tervezése esetén például a feladatmeghatározás előírja a témában tapasztalt szakértő rendelkezésre állását. Az iskolai végzettség szükséges igazolásait meghatározzák, de ha túl részletes hivatalos igazolást követelnek meg, szükségtelen adminisztratív terhet rónak a szerződő felekre.</w:t>
      </w:r>
    </w:p>
    <w:p w:rsidR="00170A1A" w:rsidRPr="004E17E1" w:rsidRDefault="00170A1A" w:rsidP="00873F38">
      <w:pPr>
        <w:pStyle w:val="H-Standard"/>
      </w:pPr>
      <w:r w:rsidRPr="004E17E1">
        <w:t xml:space="preserve">Az </w:t>
      </w:r>
      <w:r w:rsidRPr="004E17E1">
        <w:rPr>
          <w:b/>
        </w:rPr>
        <w:t>odaítélési kritériumok</w:t>
      </w:r>
      <w:r w:rsidRPr="004E17E1">
        <w:t xml:space="preserve"> a technikai és pénzügyi ajánlat minőségére vonatkoznak. Az ár mellett általában kiterjednek a javasolt értékelési megközelítésre, a feladat ismeretére, a módszertanra, a csoport tagjainak szerepére és a munka szervezésére/irányítására. Amennyiben az ajánlatkérő hatóság pontosan tudja, hogy melyek a jó ajánlat ismérvei, egyértelműen értékelni tudja az ajánlatokat, és – ami a legfontosabb – a legjobb ajánlatot tudja kiválasztani. </w:t>
      </w:r>
    </w:p>
    <w:p w:rsidR="00170A1A" w:rsidRPr="004E17E1" w:rsidRDefault="00170A1A" w:rsidP="00873F38">
      <w:pPr>
        <w:pStyle w:val="H-Standard"/>
      </w:pPr>
      <w:r w:rsidRPr="004E17E1">
        <w:t xml:space="preserve">Az odaítélési kritériumok súlyozásának egyértelműsége és átláthatósága fontos tényező, különösen a technikai ajánlat (tartalom) és a pénzügyi ajánlat (ár) közötti mérlegelés tekintetében. Gondosan értékelni kell, hogy a legalacsonyabb árajánlat technikai szempontból is a legelőnyösebb-e. Ha a pénzügyi vonatkozás kisebb súlyozást kap, lehetővé válik a technikailag legjobb minőségű ajánlat kiválasztása. A tartalom és az ár közötti arány gyakran 60:40 és 80:20 között van. A közelmúltban gyűjtött tapasztalatok azt mutatják, hogy az árhoz </w:t>
      </w:r>
      <w:r>
        <w:t>rendelt</w:t>
      </w:r>
      <w:r w:rsidRPr="004E17E1">
        <w:t xml:space="preserve"> 20–25% közötti súlyozási érték a megfelelő. Az értékelési folyamat során általában hasznos egy olyan áttekintő táblázat használata, amely felsorolja a kritériumokat és az azokhoz tartozó bizonyítékokat (beleértve azok helyét az ajánlatban).</w:t>
      </w:r>
    </w:p>
    <w:p w:rsidR="00170A1A" w:rsidRPr="004E17E1" w:rsidRDefault="00170A1A" w:rsidP="006A099F">
      <w:pPr>
        <w:pStyle w:val="HHeading5"/>
      </w:pPr>
      <w:r w:rsidRPr="004E17E1">
        <w:t>Benyújtási szabályok</w:t>
      </w:r>
      <w:bookmarkEnd w:id="305"/>
    </w:p>
    <w:p w:rsidR="00170A1A" w:rsidRPr="004E17E1" w:rsidRDefault="00170A1A" w:rsidP="00B51C05">
      <w:pPr>
        <w:pStyle w:val="H-Standard"/>
      </w:pPr>
      <w:r w:rsidRPr="004E17E1">
        <w:t>Az ajánlatok benyújtására vonatkozó információk többek között a következők:</w:t>
      </w:r>
    </w:p>
    <w:p w:rsidR="00170A1A" w:rsidRPr="004E17E1" w:rsidRDefault="00170A1A" w:rsidP="00B51C05">
      <w:pPr>
        <w:pStyle w:val="Hlistbullet2"/>
      </w:pPr>
      <w:r w:rsidRPr="004E17E1">
        <w:t xml:space="preserve">a benyújtás pontos határideje (konkrét dátum és időpont, postabélyegzővel vagy a kézbesítési napjával bizonyítva); </w:t>
      </w:r>
    </w:p>
    <w:p w:rsidR="00170A1A" w:rsidRPr="004E17E1" w:rsidRDefault="00170A1A" w:rsidP="00B51C05">
      <w:pPr>
        <w:pStyle w:val="Hlistbullet2"/>
      </w:pPr>
      <w:r w:rsidRPr="004E17E1">
        <w:t>az intézmény és a cím, ahová az ajánlatot küldeni kell.</w:t>
      </w:r>
    </w:p>
    <w:p w:rsidR="00170A1A" w:rsidRPr="004E17E1" w:rsidRDefault="00170A1A" w:rsidP="00B51C05">
      <w:pPr>
        <w:pStyle w:val="H-Standard"/>
      </w:pPr>
      <w:r w:rsidRPr="004E17E1">
        <w:t>A feladatmeghatározás rögzíti továbbá, hogy az ajánlatokat egy vagy két borítékban kell-e benyújtani (külön pénzügyi részekkel vagy anonim technikai részekkel), a szükséges másolatok számát, az ajánlatok felbontásának dátumát (ha az nyilvános), valamint a feladatmeghatározással kapcsolatos kérdésekkel megkereshető kapcsolattartó elérhetőségét.</w:t>
      </w:r>
    </w:p>
    <w:p w:rsidR="00170A1A" w:rsidRPr="004E17E1" w:rsidRDefault="00170A1A" w:rsidP="00501EAB">
      <w:pPr>
        <w:pStyle w:val="HHeading2"/>
        <w:tabs>
          <w:tab w:val="clear" w:pos="360"/>
        </w:tabs>
        <w:ind w:left="510" w:hanging="510"/>
      </w:pPr>
      <w:bookmarkStart w:id="306" w:name="_Toc453079784"/>
      <w:r w:rsidRPr="004E17E1">
        <w:lastRenderedPageBreak/>
        <w:t>Examples of output-result-impact chains for common groups of NRN actions</w:t>
      </w:r>
      <w:bookmarkEnd w:id="306"/>
      <w:r w:rsidRPr="004E17E1">
        <w:t xml:space="preserve"> </w:t>
      </w:r>
    </w:p>
    <w:p w:rsidR="00170A1A" w:rsidRPr="004E17E1" w:rsidRDefault="00170A1A" w:rsidP="007074C5">
      <w:pPr>
        <w:pStyle w:val="H-Standard"/>
        <w:rPr>
          <w:b/>
          <w:caps/>
        </w:rPr>
      </w:pPr>
      <w:r w:rsidRPr="004E17E1">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170A1A" w:rsidRPr="004E17E1" w:rsidRDefault="00170A1A" w:rsidP="007074C5">
      <w:pPr>
        <w:pStyle w:val="H-Standard"/>
      </w:pPr>
      <w:r w:rsidRPr="004E17E1">
        <w:t>The following figures illustrate how a stakeholder in a Member State could develop the logical chain of the NRN outputs, results and impacts starting from each of the common group of actions</w:t>
      </w:r>
      <w:r w:rsidRPr="004071A4">
        <w:rPr>
          <w:rFonts w:ascii="ZWAdobeF" w:hAnsi="ZWAdobeF" w:cs="ZWAdobeF"/>
          <w:color w:val="auto"/>
          <w:sz w:val="2"/>
          <w:szCs w:val="2"/>
        </w:rPr>
        <w:t xml:space="preserve"> </w:t>
      </w:r>
      <w:r>
        <w:rPr>
          <w:rFonts w:ascii="ZWAdobeF" w:hAnsi="ZWAdobeF" w:cs="ZWAdobeF"/>
          <w:color w:val="auto"/>
          <w:sz w:val="2"/>
          <w:szCs w:val="2"/>
        </w:rPr>
        <w:t>F</w:t>
      </w:r>
      <w:r w:rsidRPr="008D0759">
        <w:rPr>
          <w:rStyle w:val="FootnoteReference"/>
        </w:rPr>
        <w:footnoteReference w:id="130"/>
      </w:r>
      <w:r w:rsidRPr="004E17E1">
        <w:rPr>
          <w:rFonts w:ascii="ZWAdobeF" w:hAnsi="ZWAdobeF"/>
          <w:color w:val="auto"/>
          <w:sz w:val="2"/>
          <w:szCs w:val="2"/>
        </w:rPr>
        <w:t>129F</w:t>
      </w:r>
      <w:r w:rsidRPr="004E17E1">
        <w:t xml:space="preserve"> and link them to the outputs directly produced with NSU activities, and later with results and impacts generated by the NRN. </w:t>
      </w:r>
    </w:p>
    <w:p w:rsidR="00170A1A" w:rsidRPr="004E17E1" w:rsidRDefault="00170A1A" w:rsidP="007074C5">
      <w:pPr>
        <w:pStyle w:val="H-Standard"/>
      </w:pPr>
      <w:r w:rsidRPr="004E17E1">
        <w:t xml:space="preserve">These chains can be used as the starting point for the development of specific NRN intervention logic, which must still be linked to the NRN common and programme specific objectives. </w:t>
      </w:r>
    </w:p>
    <w:p w:rsidR="00170A1A" w:rsidRPr="004E17E1" w:rsidRDefault="00170A1A" w:rsidP="007074C5">
      <w:pPr>
        <w:pStyle w:val="H-Standard"/>
        <w:sectPr w:rsidR="00170A1A" w:rsidRPr="004E17E1"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170A1A" w:rsidRPr="004E17E1" w:rsidRDefault="00170A1A" w:rsidP="003F6DD6">
      <w:pPr>
        <w:pStyle w:val="HHeadingfigures"/>
      </w:pPr>
      <w:bookmarkStart w:id="307" w:name="_Toc451781944"/>
      <w:r w:rsidRPr="004E17E1">
        <w:lastRenderedPageBreak/>
        <w:t>Example of output-result-impact chain for collection of examples of projects, covering all RDP priorities</w:t>
      </w:r>
      <w:bookmarkEnd w:id="307"/>
      <w:r w:rsidRPr="004E17E1">
        <w:t xml:space="preserve"> </w:t>
      </w:r>
    </w:p>
    <w:p w:rsidR="00170A1A" w:rsidRPr="004E17E1" w:rsidRDefault="00170A1A" w:rsidP="00642574">
      <w:pPr>
        <w:pStyle w:val="HStandard"/>
        <w:jc w:val="center"/>
      </w:pPr>
      <w:r w:rsidRPr="004E17E1">
        <w:rPr>
          <w:noProof/>
          <w:lang w:val="en-GB" w:eastAsia="en-GB"/>
        </w:rPr>
        <w:drawing>
          <wp:inline distT="0" distB="0" distL="0" distR="0" wp14:anchorId="78163252" wp14:editId="06957B6A">
            <wp:extent cx="7805406" cy="4680000"/>
            <wp:effectExtent l="0" t="0" r="571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170A1A" w:rsidRPr="004E17E1" w:rsidRDefault="00170A1A">
      <w:pPr>
        <w:spacing w:after="0" w:line="240" w:lineRule="auto"/>
        <w:rPr>
          <w:rFonts w:cs="Arial"/>
          <w:color w:val="576C88" w:themeColor="text2" w:themeTint="D9"/>
          <w:sz w:val="20"/>
          <w:szCs w:val="20"/>
        </w:rPr>
      </w:pPr>
      <w:r w:rsidRPr="004E17E1">
        <w:br w:type="page"/>
      </w:r>
    </w:p>
    <w:p w:rsidR="00170A1A" w:rsidRPr="004E17E1" w:rsidRDefault="00170A1A" w:rsidP="00DD0375">
      <w:pPr>
        <w:pStyle w:val="HHeadingfigures"/>
        <w:rPr>
          <w:caps/>
        </w:rPr>
      </w:pPr>
      <w:bookmarkStart w:id="308" w:name="_Toc451781945"/>
      <w:r w:rsidRPr="004E17E1">
        <w:lastRenderedPageBreak/>
        <w:t>Example of output-result-impact chain for facilitation of thematic and analytical exchanges between RD stakeholders, sharing and dissemination of findings.</w:t>
      </w:r>
      <w:bookmarkEnd w:id="308"/>
    </w:p>
    <w:p w:rsidR="00170A1A" w:rsidRPr="004E17E1" w:rsidRDefault="00170A1A" w:rsidP="00DD0375">
      <w:pPr>
        <w:pStyle w:val="H-Standard"/>
        <w:jc w:val="center"/>
      </w:pPr>
      <w:r w:rsidRPr="004E17E1">
        <w:rPr>
          <w:noProof/>
          <w:lang w:val="en-GB" w:eastAsia="en-GB"/>
        </w:rPr>
        <w:drawing>
          <wp:inline distT="0" distB="0" distL="0" distR="0" wp14:anchorId="2FAC3C4B" wp14:editId="7D91D838">
            <wp:extent cx="7741031" cy="46800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170A1A" w:rsidRPr="004E17E1" w:rsidRDefault="00170A1A">
      <w:pPr>
        <w:spacing w:after="0" w:line="240" w:lineRule="auto"/>
        <w:rPr>
          <w:rFonts w:cs="Arial"/>
          <w:color w:val="000000" w:themeColor="text1" w:themeShade="BF"/>
          <w:sz w:val="20"/>
          <w:szCs w:val="18"/>
        </w:rPr>
      </w:pPr>
      <w:r w:rsidRPr="004E17E1">
        <w:br w:type="page"/>
      </w:r>
    </w:p>
    <w:p w:rsidR="00170A1A" w:rsidRPr="004E17E1" w:rsidRDefault="00170A1A" w:rsidP="00DD0375">
      <w:pPr>
        <w:pStyle w:val="HHeadingfigures"/>
        <w:rPr>
          <w:caps/>
        </w:rPr>
      </w:pPr>
      <w:bookmarkStart w:id="309" w:name="_Toc451781946"/>
      <w:r w:rsidRPr="004E17E1">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09"/>
    </w:p>
    <w:p w:rsidR="00170A1A" w:rsidRPr="004E17E1" w:rsidRDefault="00170A1A" w:rsidP="002E488C">
      <w:pPr>
        <w:pStyle w:val="H-Standard"/>
        <w:jc w:val="center"/>
      </w:pPr>
      <w:r w:rsidRPr="004E17E1">
        <w:rPr>
          <w:noProof/>
          <w:lang w:val="en-GB" w:eastAsia="en-GB"/>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170A1A" w:rsidRPr="004E17E1" w:rsidRDefault="00170A1A">
      <w:pPr>
        <w:spacing w:after="0" w:line="240" w:lineRule="auto"/>
        <w:rPr>
          <w:rFonts w:cs="Arial"/>
          <w:color w:val="000000" w:themeColor="text1" w:themeShade="BF"/>
          <w:sz w:val="20"/>
          <w:szCs w:val="18"/>
        </w:rPr>
      </w:pPr>
      <w:r w:rsidRPr="004E17E1">
        <w:br w:type="page"/>
      </w:r>
    </w:p>
    <w:p w:rsidR="00170A1A" w:rsidRPr="004E17E1" w:rsidRDefault="00170A1A" w:rsidP="0081762A">
      <w:pPr>
        <w:pStyle w:val="HHeadingfigures"/>
        <w:rPr>
          <w:caps/>
        </w:rPr>
      </w:pPr>
      <w:bookmarkStart w:id="310" w:name="_Toc451781947"/>
      <w:r w:rsidRPr="004E17E1">
        <w:lastRenderedPageBreak/>
        <w:t>Example of output-result-impact chain for provision of networking for advisors and innovation support services</w:t>
      </w:r>
      <w:bookmarkEnd w:id="310"/>
    </w:p>
    <w:p w:rsidR="00170A1A" w:rsidRPr="004E17E1" w:rsidRDefault="00170A1A" w:rsidP="0081762A">
      <w:pPr>
        <w:pStyle w:val="H-Standard"/>
        <w:jc w:val="center"/>
      </w:pPr>
      <w:r w:rsidRPr="004E17E1">
        <w:rPr>
          <w:noProof/>
          <w:lang w:val="en-GB" w:eastAsia="en-GB"/>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170A1A" w:rsidRPr="004E17E1" w:rsidRDefault="00170A1A">
      <w:pPr>
        <w:spacing w:after="0" w:line="240" w:lineRule="auto"/>
        <w:rPr>
          <w:rFonts w:cs="Arial"/>
          <w:color w:val="000000" w:themeColor="text1" w:themeShade="BF"/>
          <w:sz w:val="20"/>
          <w:szCs w:val="18"/>
        </w:rPr>
      </w:pPr>
      <w:r w:rsidRPr="004E17E1">
        <w:br w:type="page"/>
      </w:r>
    </w:p>
    <w:p w:rsidR="00170A1A" w:rsidRPr="004E17E1" w:rsidRDefault="00170A1A" w:rsidP="00ED7BA1">
      <w:pPr>
        <w:pStyle w:val="HHeadingfigures"/>
        <w:rPr>
          <w:caps/>
        </w:rPr>
      </w:pPr>
      <w:bookmarkStart w:id="311" w:name="_Toc451781948"/>
      <w:r w:rsidRPr="004E17E1">
        <w:lastRenderedPageBreak/>
        <w:t>Example of output-result-impact chain for sharing ad dissemination of monitoring and evaluation findings</w:t>
      </w:r>
      <w:bookmarkEnd w:id="311"/>
      <w:r w:rsidRPr="004E17E1">
        <w:t xml:space="preserve"> </w:t>
      </w:r>
    </w:p>
    <w:p w:rsidR="00170A1A" w:rsidRPr="004E17E1" w:rsidRDefault="00170A1A" w:rsidP="005A2FE3">
      <w:pPr>
        <w:pStyle w:val="HStandard"/>
        <w:jc w:val="center"/>
      </w:pPr>
      <w:r w:rsidRPr="004E17E1">
        <w:rPr>
          <w:noProof/>
          <w:lang w:val="en-GB" w:eastAsia="en-GB"/>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170A1A" w:rsidRPr="004E17E1" w:rsidRDefault="00170A1A">
      <w:pPr>
        <w:spacing w:after="0" w:line="240" w:lineRule="auto"/>
        <w:rPr>
          <w:rFonts w:cs="Arial"/>
          <w:color w:val="576C88" w:themeColor="text2" w:themeTint="D9"/>
          <w:sz w:val="20"/>
          <w:szCs w:val="20"/>
        </w:rPr>
      </w:pPr>
      <w:r w:rsidRPr="004E17E1">
        <w:br w:type="page"/>
      </w:r>
    </w:p>
    <w:p w:rsidR="00170A1A" w:rsidRPr="004E17E1" w:rsidRDefault="00170A1A" w:rsidP="00D22512">
      <w:pPr>
        <w:pStyle w:val="HHeadingfigures"/>
      </w:pPr>
      <w:bookmarkStart w:id="312" w:name="_Toc451781949"/>
      <w:r w:rsidRPr="004E17E1">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12"/>
    </w:p>
    <w:p w:rsidR="00170A1A" w:rsidRPr="004E17E1" w:rsidRDefault="00170A1A" w:rsidP="00D22512">
      <w:pPr>
        <w:pStyle w:val="HStandard"/>
        <w:jc w:val="center"/>
      </w:pPr>
      <w:r w:rsidRPr="004E17E1">
        <w:rPr>
          <w:noProof/>
          <w:lang w:val="en-GB" w:eastAsia="en-GB"/>
        </w:rPr>
        <w:drawing>
          <wp:inline distT="0" distB="0" distL="0" distR="0" wp14:anchorId="67FE6C99" wp14:editId="30474568">
            <wp:extent cx="8820912" cy="4187952"/>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170A1A" w:rsidRPr="004E17E1" w:rsidRDefault="00170A1A">
      <w:pPr>
        <w:spacing w:after="0" w:line="240" w:lineRule="auto"/>
        <w:rPr>
          <w:rFonts w:cs="Arial"/>
          <w:color w:val="576C88" w:themeColor="text2" w:themeTint="D9"/>
          <w:sz w:val="20"/>
          <w:szCs w:val="20"/>
        </w:rPr>
      </w:pPr>
      <w:r w:rsidRPr="004E17E1">
        <w:br w:type="page"/>
      </w:r>
    </w:p>
    <w:p w:rsidR="00170A1A" w:rsidRPr="004E17E1" w:rsidRDefault="00170A1A" w:rsidP="000535E7">
      <w:pPr>
        <w:pStyle w:val="HHeadingfigures"/>
      </w:pPr>
      <w:bookmarkStart w:id="313" w:name="_Toc451781950"/>
      <w:r w:rsidRPr="004E17E1">
        <w:lastRenderedPageBreak/>
        <w:t>Example of output-result-impact chain for participation in and contribution to the European network for rural development</w:t>
      </w:r>
      <w:bookmarkEnd w:id="313"/>
    </w:p>
    <w:p w:rsidR="00170A1A" w:rsidRPr="004E17E1" w:rsidRDefault="00170A1A" w:rsidP="00193902">
      <w:pPr>
        <w:pStyle w:val="HStandard"/>
        <w:jc w:val="center"/>
      </w:pPr>
      <w:r w:rsidRPr="004E17E1">
        <w:rPr>
          <w:noProof/>
          <w:lang w:val="en-GB" w:eastAsia="en-GB"/>
        </w:rPr>
        <w:drawing>
          <wp:inline distT="0" distB="0" distL="0" distR="0" wp14:anchorId="0306EF01" wp14:editId="5C8B910E">
            <wp:extent cx="8833104" cy="3852672"/>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170A1A" w:rsidRPr="004E17E1" w:rsidRDefault="00170A1A" w:rsidP="000535E7">
      <w:pPr>
        <w:pStyle w:val="HStandard"/>
      </w:pPr>
    </w:p>
    <w:p w:rsidR="00170A1A" w:rsidRPr="004E17E1" w:rsidRDefault="00170A1A" w:rsidP="000535E7">
      <w:pPr>
        <w:pStyle w:val="HStandard"/>
        <w:sectPr w:rsidR="00170A1A" w:rsidRPr="004E17E1" w:rsidSect="007074C5">
          <w:pgSz w:w="16838" w:h="11906" w:orient="landscape" w:code="9"/>
          <w:pgMar w:top="1440" w:right="1440" w:bottom="1440" w:left="1440" w:header="1134" w:footer="1021" w:gutter="0"/>
          <w:cols w:space="708"/>
          <w:titlePg/>
          <w:docGrid w:linePitch="360"/>
        </w:sectPr>
      </w:pPr>
    </w:p>
    <w:p w:rsidR="00170A1A" w:rsidRPr="004E17E1" w:rsidRDefault="00170A1A" w:rsidP="00501EAB">
      <w:pPr>
        <w:pStyle w:val="HHeading2"/>
        <w:tabs>
          <w:tab w:val="clear" w:pos="360"/>
        </w:tabs>
        <w:ind w:left="510" w:hanging="510"/>
      </w:pPr>
      <w:bookmarkStart w:id="314" w:name="_Toc453079785"/>
      <w:r w:rsidRPr="004E17E1">
        <w:lastRenderedPageBreak/>
        <w:t>Glosszárium</w:t>
      </w:r>
      <w:bookmarkEnd w:id="314"/>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Közös mutató</w:t>
      </w:r>
    </w:p>
    <w:p w:rsidR="00170A1A" w:rsidRPr="004E17E1" w:rsidRDefault="00170A1A" w:rsidP="00A63707">
      <w:pPr>
        <w:spacing w:before="240" w:after="240"/>
        <w:ind w:left="363"/>
        <w:rPr>
          <w:rFonts w:cs="Arial"/>
          <w:szCs w:val="18"/>
        </w:rPr>
      </w:pPr>
      <w:r w:rsidRPr="004E17E1">
        <w:rPr>
          <w:color w:val="576C88" w:themeColor="text2" w:themeTint="D9"/>
          <w:szCs w:val="18"/>
        </w:rPr>
        <w:t>A mutató olyan mennyiségi vagy minőségi tényező vagy változó, amely egyszerű és megbízható eszköze a teljesítmény mérésének, a beavatkozással kapcsolatos változások tükrözésének vagy egy adott fejlesztési szereplő teljesítménye értékelésének. A vidékfejlesztési politika összefüggésében a minden tagállamra kötelező érvényű közös mutatók a teljesítmény és a változások mérésére szolgálnak mind a VFP szintjén, mind európai szinten.</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Közös monitoring- és értékelési rendszer</w:t>
      </w:r>
    </w:p>
    <w:p w:rsidR="00170A1A" w:rsidRPr="004E17E1" w:rsidRDefault="00170A1A" w:rsidP="00A63707">
      <w:pPr>
        <w:spacing w:before="240" w:after="240"/>
        <w:ind w:left="363"/>
        <w:rPr>
          <w:rFonts w:cs="Arial"/>
          <w:szCs w:val="18"/>
        </w:rPr>
      </w:pPr>
      <w:r w:rsidRPr="004E17E1">
        <w:rPr>
          <w:color w:val="576C88" w:themeColor="text2" w:themeTint="D9"/>
          <w:szCs w:val="18"/>
        </w:rPr>
        <w:t>Információk rendszeres időközönkénti gyűjtésére szolgáló rendszer, amely megkönnyíti a program teljesítményének jelentését, elemzését és értékelési módszerekkel történő értékelését. A rendszer magában foglal minden monitoring- és értékelési tevékenységet, többek között magának a rendszernek az irányítását is. A monitoring- és értékelési rendszert az irányító hatóság koordinálja, és az szolgál az értékelés megállapításaival kapcsolatos belső és külső tájékoztatás alapjául. A vidékfejlesztési rendeletekben a kifejezés a Bizottság és a tagállamok által kidolgozott közös rendszerre utal, amelynek célja a vidékfejlesztési politika beavatkozásai nyomán bekövetkezett előrehaladás és teljesítmény bemutatása, a hatások, az eredményesség, a hatékonyság és a relevancia értékelése. Korlátozott számban tartalmaz a programok hátterére, kimeneteire, eredményeire és hatásaira vonatkozó közös mutatókat.</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Konzisztencia</w:t>
      </w:r>
    </w:p>
    <w:p w:rsidR="00170A1A" w:rsidRPr="004E17E1" w:rsidRDefault="00170A1A" w:rsidP="00A63707">
      <w:pPr>
        <w:spacing w:before="240" w:after="240"/>
        <w:ind w:left="363"/>
        <w:rPr>
          <w:rFonts w:cs="Arial"/>
          <w:szCs w:val="18"/>
        </w:rPr>
      </w:pPr>
      <w:r w:rsidRPr="004E17E1">
        <w:rPr>
          <w:color w:val="576C88" w:themeColor="text2" w:themeTint="D9"/>
          <w:szCs w:val="18"/>
        </w:rPr>
        <w:t>Egy összetett dolog részei közötti összhang, kompatibilitás, megfelelés vagy egységesség. Európai jogi szövegekben és munkadokumentumokban gyakran használják a koherencia szinonimájaként. Kétféle konzisztenciát különböztetünk meg: függőleges és vízszintes. A függőleges konzisztencia ugyanannak a beavatkozásnak a különböző célkitűzései közötti megfelelésre utal. A vízszintes konzisztencia az egyes szintek (kimenet, eredmény, hatás) várt eredményei és az adott szinthez (műveleti, konkrét, átfogó célkitűzések) meghatározott célkitűzések közötti megfelelésre utal.</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Kontextusmutató</w:t>
      </w:r>
    </w:p>
    <w:p w:rsidR="00170A1A" w:rsidRPr="004E17E1" w:rsidRDefault="00170A1A" w:rsidP="00A63707">
      <w:pPr>
        <w:spacing w:before="240" w:after="240"/>
        <w:ind w:left="363"/>
        <w:rPr>
          <w:rFonts w:cs="Arial"/>
          <w:sz w:val="20"/>
          <w:szCs w:val="20"/>
        </w:rPr>
      </w:pPr>
      <w:r w:rsidRPr="004E17E1">
        <w:rPr>
          <w:color w:val="576C88" w:themeColor="text2" w:themeTint="D9"/>
          <w:szCs w:val="18"/>
        </w:rPr>
        <w:t>Információt nyújt a politika tervezésére és teljesítményére valószínűleg hatást gyakorló külső környezeti</w:t>
      </w:r>
      <w:r w:rsidRPr="004E17E1">
        <w:rPr>
          <w:color w:val="576C88" w:themeColor="text2" w:themeTint="D9"/>
          <w:sz w:val="20"/>
          <w:szCs w:val="20"/>
        </w:rPr>
        <w:t xml:space="preserve"> </w:t>
      </w:r>
      <w:r w:rsidRPr="004E17E1">
        <w:rPr>
          <w:color w:val="576C88" w:themeColor="text2" w:themeTint="D9"/>
          <w:szCs w:val="18"/>
        </w:rPr>
        <w:t>szempontokról, például az egy főre jutó GDP-ről, a munkanélküliségi rátáról, a vízminőségről.</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Összehasonlító eset</w:t>
      </w:r>
    </w:p>
    <w:p w:rsidR="00170A1A" w:rsidRPr="004E17E1" w:rsidRDefault="00170A1A" w:rsidP="00A63707">
      <w:pPr>
        <w:spacing w:before="240" w:after="240"/>
        <w:ind w:left="363"/>
        <w:rPr>
          <w:rFonts w:cs="Arial"/>
          <w:szCs w:val="18"/>
        </w:rPr>
      </w:pPr>
      <w:r w:rsidRPr="004E17E1">
        <w:rPr>
          <w:color w:val="576C88" w:themeColor="text2" w:themeTint="D9"/>
          <w:szCs w:val="18"/>
        </w:rPr>
        <w:t>Olyan helyzet, amely akkor következett volna be, ha nem történik állami beavatkozás. Az összehasonlító esetet és a valós helyzetet összevetve lehetőség van az állami beavatkozás nettó hatásainak meghatározására. Az összehasonlító eset kidolgozására számos eszköz használható: shift-share-analízis, összehasonlító csoportok, ökonometriai modelleket használó szimuláció stb. A kiindulási ponton a valós helyzet és az összehasonlító helyzet azonos. Ha a beavatkozás eredményes, később eltérnek egymástól.</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Eredményesség</w:t>
      </w:r>
    </w:p>
    <w:p w:rsidR="00170A1A" w:rsidRPr="004E17E1" w:rsidRDefault="00170A1A" w:rsidP="00A63707">
      <w:pPr>
        <w:spacing w:before="240" w:after="240"/>
        <w:ind w:left="363"/>
        <w:rPr>
          <w:rFonts w:cs="Arial"/>
          <w:szCs w:val="18"/>
        </w:rPr>
      </w:pPr>
      <w:r w:rsidRPr="004E17E1">
        <w:rPr>
          <w:color w:val="576C88" w:themeColor="text2" w:themeTint="D9"/>
          <w:szCs w:val="18"/>
        </w:rPr>
        <w:t xml:space="preserve">Leírja, hogy milyen mértékben teljesültek a beavatkozás által elérni kívánt célkitűzések. Az eredményességi mutató kiszámításakor a kimeneti, eredmény- </w:t>
      </w:r>
      <w:r w:rsidRPr="004E17E1">
        <w:rPr>
          <w:color w:val="576C88" w:themeColor="text2" w:themeTint="D9"/>
          <w:szCs w:val="18"/>
        </w:rPr>
        <w:lastRenderedPageBreak/>
        <w:t>vagy hatásmutatót számszerűsített célkitűzéssel vetik össze.</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Hatékonyság</w:t>
      </w:r>
    </w:p>
    <w:p w:rsidR="00170A1A" w:rsidRPr="004E17E1" w:rsidRDefault="00170A1A" w:rsidP="00A63707">
      <w:pPr>
        <w:spacing w:before="240" w:after="240"/>
        <w:ind w:left="363"/>
        <w:rPr>
          <w:rFonts w:cs="Arial"/>
          <w:szCs w:val="18"/>
        </w:rPr>
      </w:pPr>
      <w:r w:rsidRPr="004E17E1">
        <w:rPr>
          <w:color w:val="576C88" w:themeColor="text2" w:themeTint="D9"/>
          <w:szCs w:val="18"/>
        </w:rPr>
        <w:t>A felhasznált erőforrások és a beavatkozás által megcélzott adott célkitűzés elérésében megvalósult eredmények legjobb kapcsolata. A hatékonyság összefüggésében vizsgál</w:t>
      </w:r>
      <w:r>
        <w:rPr>
          <w:color w:val="576C88" w:themeColor="text2" w:themeTint="D9"/>
          <w:szCs w:val="18"/>
        </w:rPr>
        <w:t>ható</w:t>
      </w:r>
      <w:r w:rsidRPr="004E17E1">
        <w:rPr>
          <w:color w:val="576C88" w:themeColor="text2" w:themeTint="D9"/>
          <w:szCs w:val="18"/>
        </w:rPr>
        <w:t xml:space="preserve">, hogy ugyanazzal a költségvetéssel több hatást lehetett volna-e elérni, vagy ugyanezt a hatást ki lehetett volna-e váltani kisebb költségen is. A hatékonyság mutatójának kiszámításához a mozgósított költségvetési bemeneteket </w:t>
      </w:r>
      <w:r>
        <w:rPr>
          <w:color w:val="576C88" w:themeColor="text2" w:themeTint="D9"/>
          <w:szCs w:val="18"/>
        </w:rPr>
        <w:t xml:space="preserve">kell osztani </w:t>
      </w:r>
      <w:r w:rsidRPr="004E17E1">
        <w:rPr>
          <w:color w:val="576C88" w:themeColor="text2" w:themeTint="D9"/>
          <w:szCs w:val="18"/>
        </w:rPr>
        <w:t>az elért hatások mennyiségével</w:t>
      </w:r>
      <w:r w:rsidRPr="004E17E1">
        <w:rPr>
          <w:szCs w:val="18"/>
        </w:rPr>
        <w:t>.</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Értékelési terv</w:t>
      </w:r>
    </w:p>
    <w:p w:rsidR="00170A1A" w:rsidRPr="004E17E1" w:rsidRDefault="00170A1A" w:rsidP="00A63707">
      <w:pPr>
        <w:spacing w:before="240" w:after="240"/>
        <w:ind w:left="363"/>
        <w:rPr>
          <w:rFonts w:cs="Arial"/>
          <w:szCs w:val="18"/>
        </w:rPr>
      </w:pPr>
      <w:r>
        <w:rPr>
          <w:color w:val="576C88" w:themeColor="text2" w:themeTint="D9"/>
          <w:szCs w:val="18"/>
        </w:rPr>
        <w:t>A</w:t>
      </w:r>
      <w:r w:rsidRPr="004E17E1">
        <w:rPr>
          <w:color w:val="576C88" w:themeColor="text2" w:themeTint="D9"/>
          <w:szCs w:val="18"/>
        </w:rPr>
        <w:t xml:space="preserve"> program teljes végrehajtási időszakára </w:t>
      </w:r>
      <w:r>
        <w:rPr>
          <w:color w:val="576C88" w:themeColor="text2" w:themeTint="D9"/>
          <w:szCs w:val="18"/>
        </w:rPr>
        <w:t>m</w:t>
      </w:r>
      <w:r w:rsidRPr="004E17E1">
        <w:rPr>
          <w:color w:val="576C88" w:themeColor="text2" w:themeTint="D9"/>
          <w:szCs w:val="18"/>
        </w:rPr>
        <w:t>eghatározza az értékelési tevékenységeket, ideértve az intézményi kereteket (az értékelés irányítása) és a kezelési rendelkezéseket (az értékelés kezelése). A 2014–2020-as programozási időszakra a program irányító hatóságai a közös stratégiai keretrendszerbe bevont öt alap finanszírozásában készítik el az értékelési tervet. A vidékfejlesztés esetében az értékelési terv az egyes VFP-k részét képezi majd, és meg kell felelnie a végrehajtási jogi aktusban meghatározott minimális követelményeknek.</w:t>
      </w:r>
    </w:p>
    <w:p w:rsidR="00170A1A" w:rsidRPr="004E17E1" w:rsidRDefault="00170A1A" w:rsidP="004E17E1">
      <w:pPr>
        <w:spacing w:after="0" w:line="240" w:lineRule="auto"/>
        <w:ind w:left="284"/>
        <w:rPr>
          <w:rFonts w:cs="Arial"/>
          <w:b/>
          <w:color w:val="E7E6E6" w:themeColor="background2"/>
          <w:sz w:val="24"/>
        </w:rPr>
      </w:pPr>
      <w:r w:rsidRPr="004E17E1">
        <w:rPr>
          <w:b/>
          <w:color w:val="E7E6E6" w:themeColor="background2"/>
          <w:sz w:val="24"/>
        </w:rPr>
        <w:t>Értékelési kérdések</w:t>
      </w:r>
    </w:p>
    <w:p w:rsidR="00170A1A" w:rsidRPr="004E17E1" w:rsidRDefault="00170A1A" w:rsidP="00A63707">
      <w:pPr>
        <w:spacing w:before="240" w:after="240"/>
        <w:ind w:left="363"/>
        <w:rPr>
          <w:rFonts w:cs="Arial"/>
          <w:szCs w:val="18"/>
        </w:rPr>
      </w:pPr>
      <w:r w:rsidRPr="004E17E1">
        <w:rPr>
          <w:color w:val="576C88" w:themeColor="text2" w:themeTint="D9"/>
          <w:szCs w:val="18"/>
        </w:rPr>
        <w:t>Az értékelők által megválaszolandó kérdések. A kérdéseket általában az értékelőt megbízó fél teszi fel. Az értékelési kérdések rendszerint szerepelnek az értékelés</w:t>
      </w:r>
      <w:r>
        <w:rPr>
          <w:color w:val="576C88" w:themeColor="text2" w:themeTint="D9"/>
          <w:szCs w:val="18"/>
        </w:rPr>
        <w:t>i</w:t>
      </w:r>
      <w:r w:rsidRPr="004E17E1">
        <w:rPr>
          <w:color w:val="576C88" w:themeColor="text2" w:themeTint="D9"/>
          <w:szCs w:val="18"/>
        </w:rPr>
        <w:t xml:space="preserve"> projektek feladatmeghatározásában. Vidékfejlesztési programok értékelésekor az értékelési kérdések a közös iránymutatás részét képezik. Az értékelési kérdéseknek három dimenziójuk van: leíró </w:t>
      </w:r>
      <w:r w:rsidRPr="004E17E1">
        <w:rPr>
          <w:color w:val="576C88" w:themeColor="text2" w:themeTint="D9"/>
          <w:szCs w:val="18"/>
        </w:rPr>
        <w:t>(mi történt?), okozati (az esemény milyen mértékben tulajdonítható a beavatkozásnak?) és normatív (kielégítő a hatás?).</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Értékelési téma</w:t>
      </w:r>
    </w:p>
    <w:p w:rsidR="00170A1A" w:rsidRPr="004E17E1" w:rsidRDefault="00170A1A" w:rsidP="00A63707">
      <w:pPr>
        <w:spacing w:before="240" w:after="240"/>
        <w:ind w:left="363"/>
        <w:rPr>
          <w:rFonts w:cs="Arial"/>
          <w:szCs w:val="18"/>
        </w:rPr>
      </w:pPr>
      <w:r w:rsidRPr="004E17E1">
        <w:rPr>
          <w:color w:val="576C88" w:themeColor="text2" w:themeTint="D9"/>
          <w:szCs w:val="18"/>
        </w:rPr>
        <w:t>Konkrét téma, amelyre az adott értékelés összpontosít. Például vidékfejlesztési prioritások és kiemelt területek vagy átfogó kérdések.</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Előzetes értékelés</w:t>
      </w:r>
    </w:p>
    <w:p w:rsidR="00170A1A" w:rsidRPr="004E17E1" w:rsidRDefault="00170A1A" w:rsidP="00A63707">
      <w:pPr>
        <w:spacing w:before="240" w:after="240"/>
        <w:ind w:left="363"/>
        <w:rPr>
          <w:rFonts w:cs="Arial"/>
          <w:szCs w:val="18"/>
        </w:rPr>
      </w:pPr>
      <w:r w:rsidRPr="004E17E1">
        <w:rPr>
          <w:color w:val="576C88" w:themeColor="text2" w:themeTint="D9"/>
          <w:szCs w:val="18"/>
        </w:rPr>
        <w:t>A program végrehajtása előtt elvégzett értékelés. Célja információk összegyűjtése és elemzések végrehajtása annak érdekében, hogy a beavatkozás a lehető legrelevánsabb és legkoherensebb legyen. A következtetéseket be kell építeni a döntéshozatalba. Az előzetes értékelés általában a háttér elemzésével foglalkozik, ugyanakkor lehetőséget biztosít beavatkozási mechanizmus meghatározására a már létező elemek vonatkozásában. Előzetes értékelést biztosít az illetékes hatóságoknak arról, hogy a fejlesztési kérdéseket helyesen diagnosztizálták-e, a javasolt stratégia és célkitűzések relevánsak-e, van-e ellentmondás közöttük vagy a közösségi politikák és iránymutatások vonatkozásában, a várt hatások reálisak-e stb. Ezenfelül az explicit és adott esetben számszerűsített célkitűzések biztosításával megadja a szükséges alapot</w:t>
      </w:r>
      <w:r>
        <w:rPr>
          <w:color w:val="576C88" w:themeColor="text2" w:themeTint="D9"/>
          <w:szCs w:val="18"/>
        </w:rPr>
        <w:t xml:space="preserve"> a</w:t>
      </w:r>
      <w:r w:rsidRPr="004E17E1">
        <w:rPr>
          <w:color w:val="576C88" w:themeColor="text2" w:themeTint="D9"/>
          <w:szCs w:val="18"/>
        </w:rPr>
        <w:t xml:space="preserve"> monitoringhoz és a jövőbeli értékelésekhez. A fenti funkciók ellátásával az előzetes értékelés támogatja az új vagy megújított közösségi intézkedésekre vonatkozó javaslatok készítését. Célja garantálni a szakpolitikai célkitűzések sikeres végrehajtását, a megtett intézkedések költséghatékonyságát, a megbízható félidős és utólagos értékelések előkészítését.</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lastRenderedPageBreak/>
        <w:t>Utólagos értékelés</w:t>
      </w:r>
    </w:p>
    <w:p w:rsidR="00170A1A" w:rsidRPr="004E17E1" w:rsidRDefault="00170A1A" w:rsidP="00A63707">
      <w:pPr>
        <w:spacing w:before="240" w:after="240"/>
        <w:ind w:left="363"/>
        <w:rPr>
          <w:rFonts w:cs="Arial"/>
          <w:szCs w:val="18"/>
        </w:rPr>
      </w:pPr>
      <w:r w:rsidRPr="004E17E1">
        <w:rPr>
          <w:color w:val="576C88" w:themeColor="text2" w:themeTint="D9"/>
          <w:szCs w:val="18"/>
        </w:rPr>
        <w:t>A beavatkozást a lezárása után összegző és megítélő értékelés. Célja, hogy számot adjon az erőforrások használatáról, a szándékos és nem szándékos hatásokról. Igyekszik azonosítani a program sikerének vagy sikertelenségének tényezőit. Ezenfelül megpróbál következtetéseket levonni, amelyek általánosítva felhasználhatók más beavatkozásokhoz. Az utólagos értékelést a végrehajtás után bizonyos idővel kell elvégezni, hogy a hatásoknak legyen idejük kibontakozniuk.</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Kiemelt terület</w:t>
      </w:r>
    </w:p>
    <w:p w:rsidR="00170A1A" w:rsidRPr="004E17E1" w:rsidRDefault="00170A1A" w:rsidP="00A63707">
      <w:pPr>
        <w:spacing w:before="240" w:after="240"/>
        <w:ind w:left="363"/>
        <w:rPr>
          <w:rFonts w:cs="Arial"/>
          <w:szCs w:val="18"/>
        </w:rPr>
      </w:pPr>
      <w:r w:rsidRPr="004E17E1">
        <w:rPr>
          <w:color w:val="576C88" w:themeColor="text2" w:themeTint="D9"/>
          <w:szCs w:val="18"/>
        </w:rPr>
        <w:t>A szakpolitikának az az alterülete, amelyre a beavatkozás irányul. A hat uniós vidékfejlesztési prioritást 18 kiemelt műveleti területre bontották az intézkedések és a tervezett beavatkozások hozzárendelésének jobb strukturálása érdekében.</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Célkitűzések hierarchiája</w:t>
      </w:r>
    </w:p>
    <w:p w:rsidR="00170A1A" w:rsidRPr="004E17E1" w:rsidRDefault="00170A1A" w:rsidP="00A63707">
      <w:pPr>
        <w:spacing w:before="240" w:after="240"/>
        <w:ind w:left="363"/>
        <w:rPr>
          <w:rFonts w:cs="Arial"/>
          <w:szCs w:val="18"/>
        </w:rPr>
      </w:pPr>
      <w:r w:rsidRPr="004E17E1">
        <w:rPr>
          <w:color w:val="576C88" w:themeColor="text2" w:themeTint="D9"/>
          <w:szCs w:val="18"/>
        </w:rPr>
        <w:t>Ez az eszköz segít a program célkitűzéseinek elemzésében és ismertetésében, és megmutatja, hogyan járulnak hozzá a beavatkozások a globális, köztes és operatív célkitűzések eléréséhez. A célkitűzéseket különböző szintekbe rendezi (célkitűzések, alcélkitűzések) hierarchia vagy faelrendezés formájában, így mutatva be a célkitűzések és azok alcélkitűzései közötti logikai kapcsolatokat. Szintetikus módon mutatja be a rendeletből eredő különböző beavatkozási logikákat, amelyek összekapcsolják az egyes eljárásokat és intézkedéseket a beavatkozás átfogó céljaival. A vidékfejlesztésről szóló rendelet horizontális célkitűzéseket is tartalmaz, amelyek a program minden intézkedését érintik.</w:t>
      </w:r>
      <w:r w:rsidRPr="004E17E1">
        <w:rPr>
          <w:szCs w:val="18"/>
        </w:rPr>
        <w:t xml:space="preserve"> </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Hatások</w:t>
      </w:r>
    </w:p>
    <w:p w:rsidR="00170A1A" w:rsidRPr="004E17E1" w:rsidRDefault="00170A1A" w:rsidP="00A63707">
      <w:pPr>
        <w:spacing w:before="240" w:after="240"/>
        <w:ind w:left="363"/>
        <w:rPr>
          <w:rFonts w:cs="Arial"/>
          <w:szCs w:val="18"/>
        </w:rPr>
      </w:pPr>
      <w:r w:rsidRPr="004E17E1">
        <w:rPr>
          <w:color w:val="576C88" w:themeColor="text2" w:themeTint="D9"/>
          <w:szCs w:val="18"/>
        </w:rPr>
        <w:t>A beavatkozás közép- vagy hosszú távú kihatásai. Bizonyos hatások közvetett módon érvényesülnek (például a támogatott vállalatok beszállítóinak forgalma). Mások makrogazdasági vagy makrotársadalmi szinten észlelhetők (például a támogatott terület arculatának fejlődése); ezek átfogó hatások. A hatás lehet pozitív vagy negatív, várt vagy váratlan.</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Beavatkozási logika</w:t>
      </w:r>
    </w:p>
    <w:p w:rsidR="00170A1A" w:rsidRPr="004E17E1" w:rsidRDefault="00170A1A" w:rsidP="00A63707">
      <w:pPr>
        <w:spacing w:before="240" w:after="240"/>
        <w:ind w:left="363"/>
        <w:rPr>
          <w:rFonts w:cs="Arial"/>
          <w:szCs w:val="18"/>
        </w:rPr>
      </w:pPr>
      <w:r w:rsidRPr="004E17E1">
        <w:rPr>
          <w:color w:val="576C88" w:themeColor="text2" w:themeTint="D9"/>
          <w:szCs w:val="18"/>
        </w:rPr>
        <w:t>Azt a módszertani eszközt jelenti, amely kialakítja a logikai kapcsolatot a program célkitűzései és az előirányzott operatív intézkedések között. Bemutatja az elvi kapcsolatot a beavatkozások bemenete és kimenete, azt követően pedig azok eredményei és hatásai között. A beavatkozási logika így lehetővé teszi az intézkedés célkitűzések eléréséhez való hozzájárulásának értékelését.</w:t>
      </w:r>
    </w:p>
    <w:p w:rsidR="00170A1A" w:rsidRPr="004E17E1" w:rsidRDefault="00170A1A" w:rsidP="00A63707">
      <w:pPr>
        <w:spacing w:before="240" w:after="240"/>
        <w:ind w:left="360"/>
        <w:rPr>
          <w:rFonts w:cs="Arial"/>
          <w:b/>
          <w:color w:val="E7E6E6" w:themeColor="background2"/>
          <w:sz w:val="24"/>
        </w:rPr>
      </w:pPr>
      <w:r w:rsidRPr="004E17E1">
        <w:rPr>
          <w:b/>
          <w:color w:val="E7E6E6" w:themeColor="background2"/>
          <w:sz w:val="24"/>
        </w:rPr>
        <w:t>Elbírálási kritérium</w:t>
      </w:r>
    </w:p>
    <w:p w:rsidR="00170A1A" w:rsidRPr="004E17E1" w:rsidRDefault="00170A1A" w:rsidP="00A63707">
      <w:pPr>
        <w:spacing w:before="240" w:after="240"/>
        <w:ind w:left="360"/>
        <w:rPr>
          <w:rFonts w:cs="Arial"/>
          <w:szCs w:val="18"/>
        </w:rPr>
      </w:pPr>
      <w:r w:rsidRPr="004E17E1">
        <w:rPr>
          <w:color w:val="576C88" w:themeColor="text2" w:themeTint="D9"/>
          <w:szCs w:val="18"/>
        </w:rPr>
        <w:t>Az értékelési kritériumként is ismert eszköz az értékelt beavatkozás olyan szempontját</w:t>
      </w:r>
      <w:r w:rsidRPr="0049467E">
        <w:rPr>
          <w:color w:val="576C88" w:themeColor="text2" w:themeTint="D9"/>
          <w:szCs w:val="18"/>
        </w:rPr>
        <w:t xml:space="preserve"> </w:t>
      </w:r>
      <w:r w:rsidRPr="004E17E1">
        <w:rPr>
          <w:color w:val="576C88" w:themeColor="text2" w:themeTint="D9"/>
          <w:szCs w:val="18"/>
        </w:rPr>
        <w:t>határozza</w:t>
      </w:r>
      <w:r>
        <w:rPr>
          <w:color w:val="576C88" w:themeColor="text2" w:themeTint="D9"/>
          <w:szCs w:val="18"/>
        </w:rPr>
        <w:t xml:space="preserve"> meg</w:t>
      </w:r>
      <w:r w:rsidRPr="004E17E1">
        <w:rPr>
          <w:color w:val="576C88" w:themeColor="text2" w:themeTint="D9"/>
          <w:szCs w:val="18"/>
        </w:rPr>
        <w:t>, amely lehetővé teszi annak érdemének vagy sikerének megállapítását. Az elbírálási kritériumok szoros kapcsolatban vannak az értékelési kérdésekkel; a kritériumot az értékelési kérdés megválaszolására használják. Minden kérdésből egy vagy több elbírálási kritérium vezethető le.</w:t>
      </w:r>
      <w:r w:rsidRPr="004E17E1">
        <w:rPr>
          <w:szCs w:val="18"/>
        </w:rPr>
        <w:t xml:space="preserve"> </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Nemzeti vidékfejlesztési hálózatok</w:t>
      </w:r>
    </w:p>
    <w:p w:rsidR="00170A1A" w:rsidRPr="004E17E1" w:rsidRDefault="00170A1A" w:rsidP="00A63707">
      <w:pPr>
        <w:spacing w:before="240" w:after="240"/>
        <w:ind w:left="363"/>
        <w:rPr>
          <w:rFonts w:cs="Arial"/>
          <w:szCs w:val="18"/>
        </w:rPr>
      </w:pPr>
      <w:r w:rsidRPr="004E17E1">
        <w:rPr>
          <w:color w:val="576C88" w:themeColor="text2" w:themeTint="D9"/>
          <w:szCs w:val="18"/>
        </w:rPr>
        <w:t>A tagállamok által létrehozott, a vidékfejlesztésben részt vevő szervezeteket és közigazgatási szerveket tömörítő hálózat</w:t>
      </w:r>
      <w:r>
        <w:rPr>
          <w:color w:val="576C88" w:themeColor="text2" w:themeTint="D9"/>
          <w:szCs w:val="18"/>
        </w:rPr>
        <w:t>ok</w:t>
      </w:r>
      <w:r w:rsidRPr="004E17E1">
        <w:rPr>
          <w:color w:val="576C88" w:themeColor="text2" w:themeTint="D9"/>
          <w:szCs w:val="18"/>
        </w:rPr>
        <w:t>, amelyek célja:</w:t>
      </w:r>
    </w:p>
    <w:p w:rsidR="00170A1A" w:rsidRPr="004E17E1" w:rsidRDefault="00170A1A" w:rsidP="009712DC">
      <w:pPr>
        <w:pStyle w:val="ListParagraph"/>
        <w:numPr>
          <w:ilvl w:val="0"/>
          <w:numId w:val="27"/>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az érdekelt felek fokozottabb bevonása a vidékfejlesztés végrehajtásába;</w:t>
      </w:r>
    </w:p>
    <w:p w:rsidR="00170A1A" w:rsidRPr="004E17E1" w:rsidRDefault="00170A1A" w:rsidP="009712DC">
      <w:pPr>
        <w:pStyle w:val="ListParagraph"/>
        <w:numPr>
          <w:ilvl w:val="0"/>
          <w:numId w:val="27"/>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lastRenderedPageBreak/>
        <w:t>a vidékfejlesztési programok minőségének javítása;</w:t>
      </w:r>
    </w:p>
    <w:p w:rsidR="00170A1A" w:rsidRPr="004E17E1" w:rsidRDefault="00170A1A" w:rsidP="009712DC">
      <w:pPr>
        <w:pStyle w:val="ListParagraph"/>
        <w:numPr>
          <w:ilvl w:val="0"/>
          <w:numId w:val="27"/>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a szélesebb közvéleménynek és a potenciális kedvezményezetteknek a vidékfejlesztési politikáról való tájékoztatása;</w:t>
      </w:r>
    </w:p>
    <w:p w:rsidR="00170A1A" w:rsidRPr="004E17E1" w:rsidRDefault="00170A1A" w:rsidP="009712DC">
      <w:pPr>
        <w:pStyle w:val="ListParagraph"/>
        <w:numPr>
          <w:ilvl w:val="0"/>
          <w:numId w:val="27"/>
        </w:numPr>
        <w:spacing w:before="240" w:after="240"/>
        <w:ind w:left="709" w:hanging="357"/>
        <w:contextualSpacing w:val="0"/>
        <w:jc w:val="both"/>
        <w:rPr>
          <w:rFonts w:ascii="Arial" w:hAnsi="Arial" w:cs="Arial"/>
          <w:sz w:val="18"/>
          <w:szCs w:val="18"/>
        </w:rPr>
      </w:pPr>
      <w:r w:rsidRPr="004E17E1">
        <w:rPr>
          <w:rFonts w:ascii="Arial" w:hAnsi="Arial"/>
          <w:color w:val="576C88" w:themeColor="text2" w:themeTint="D9"/>
          <w:sz w:val="18"/>
          <w:szCs w:val="18"/>
        </w:rPr>
        <w:t>az innováció előmozdítása a mezőgazdaságban.</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Az NVH cselekvési terve</w:t>
      </w:r>
    </w:p>
    <w:p w:rsidR="00170A1A" w:rsidRPr="004E17E1" w:rsidRDefault="00170A1A" w:rsidP="00A63707">
      <w:pPr>
        <w:spacing w:before="240" w:after="240"/>
        <w:ind w:left="363"/>
        <w:rPr>
          <w:rFonts w:cs="Arial"/>
          <w:szCs w:val="18"/>
        </w:rPr>
      </w:pPr>
      <w:r w:rsidRPr="004E17E1">
        <w:rPr>
          <w:color w:val="576C88" w:themeColor="text2" w:themeTint="D9"/>
          <w:szCs w:val="18"/>
        </w:rPr>
        <w:t>Az NVH-nak legalább az alábbi tevékenységekre vonatkozó terve:</w:t>
      </w:r>
    </w:p>
    <w:p w:rsidR="00170A1A" w:rsidRPr="004E17E1" w:rsidRDefault="00170A1A" w:rsidP="009712DC">
      <w:pPr>
        <w:pStyle w:val="ListParagraph"/>
        <w:numPr>
          <w:ilvl w:val="1"/>
          <w:numId w:val="26"/>
        </w:numPr>
        <w:spacing w:before="240" w:after="240"/>
        <w:ind w:left="709" w:hanging="357"/>
        <w:jc w:val="both"/>
        <w:rPr>
          <w:rFonts w:ascii="Arial" w:hAnsi="Arial" w:cs="Arial"/>
          <w:sz w:val="18"/>
          <w:szCs w:val="18"/>
        </w:rPr>
      </w:pPr>
      <w:r>
        <w:rPr>
          <w:rFonts w:ascii="Arial" w:hAnsi="Arial"/>
          <w:color w:val="576C88" w:themeColor="text2" w:themeTint="D9"/>
          <w:sz w:val="18"/>
          <w:szCs w:val="18"/>
        </w:rPr>
        <w:t xml:space="preserve">olyan, </w:t>
      </w:r>
      <w:r w:rsidRPr="004E17E1">
        <w:rPr>
          <w:rFonts w:ascii="Arial" w:hAnsi="Arial"/>
          <w:color w:val="576C88" w:themeColor="text2" w:themeTint="D9"/>
          <w:sz w:val="18"/>
          <w:szCs w:val="18"/>
        </w:rPr>
        <w:t>példaként szolgáló projektek gyűjtése, amely</w:t>
      </w:r>
      <w:r>
        <w:rPr>
          <w:rFonts w:ascii="Arial" w:hAnsi="Arial"/>
          <w:color w:val="576C88" w:themeColor="text2" w:themeTint="D9"/>
          <w:sz w:val="18"/>
          <w:szCs w:val="18"/>
        </w:rPr>
        <w:t>ek</w:t>
      </w:r>
      <w:r w:rsidRPr="004E17E1">
        <w:rPr>
          <w:rFonts w:ascii="Arial" w:hAnsi="Arial"/>
          <w:color w:val="576C88" w:themeColor="text2" w:themeTint="D9"/>
          <w:sz w:val="18"/>
          <w:szCs w:val="18"/>
        </w:rPr>
        <w:t xml:space="preserve"> a vidékfejlesztési programok valamennyi prioritását lefedi</w:t>
      </w:r>
      <w:r>
        <w:rPr>
          <w:rFonts w:ascii="Arial" w:hAnsi="Arial"/>
          <w:color w:val="576C88" w:themeColor="text2" w:themeTint="D9"/>
          <w:sz w:val="18"/>
          <w:szCs w:val="18"/>
        </w:rPr>
        <w:t>k</w:t>
      </w:r>
      <w:r w:rsidRPr="004E17E1">
        <w:rPr>
          <w:rFonts w:ascii="Arial" w:hAnsi="Arial"/>
          <w:color w:val="576C88" w:themeColor="text2" w:themeTint="D9"/>
          <w:sz w:val="18"/>
          <w:szCs w:val="18"/>
        </w:rPr>
        <w:t>;</w:t>
      </w:r>
    </w:p>
    <w:p w:rsidR="00170A1A" w:rsidRPr="004E17E1" w:rsidRDefault="00170A1A" w:rsidP="009712DC">
      <w:pPr>
        <w:pStyle w:val="ListParagraph"/>
        <w:numPr>
          <w:ilvl w:val="1"/>
          <w:numId w:val="26"/>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a tematikus információk és elemzési eredmények vidékfejlesztési érdekeltek közötti cseréjének támogatása, a megállapítások megosztása és terjesztése;</w:t>
      </w:r>
    </w:p>
    <w:p w:rsidR="00170A1A" w:rsidRPr="004E17E1" w:rsidRDefault="00170A1A" w:rsidP="009712DC">
      <w:pPr>
        <w:pStyle w:val="ListParagraph"/>
        <w:numPr>
          <w:ilvl w:val="1"/>
          <w:numId w:val="26"/>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oktatás és hálózatépítés biztosítása a helyi akciócsoportok számára, különösen technikai segítségnyújtás a térségek közötti és transznacionális együttműködéshez;</w:t>
      </w:r>
    </w:p>
    <w:p w:rsidR="00170A1A" w:rsidRPr="004E17E1" w:rsidRDefault="00170A1A" w:rsidP="009712DC">
      <w:pPr>
        <w:pStyle w:val="ListParagraph"/>
        <w:numPr>
          <w:ilvl w:val="1"/>
          <w:numId w:val="26"/>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hálózatépítési tevékenységek biztosítása tanácsadók és az innovációt támogató szolgálatok számára;</w:t>
      </w:r>
    </w:p>
    <w:p w:rsidR="00170A1A" w:rsidRPr="004E17E1" w:rsidRDefault="00170A1A" w:rsidP="009712DC">
      <w:pPr>
        <w:pStyle w:val="ListParagraph"/>
        <w:numPr>
          <w:ilvl w:val="1"/>
          <w:numId w:val="26"/>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monitoring- és értékelési megállapítások megosztása és terjesztése;</w:t>
      </w:r>
    </w:p>
    <w:p w:rsidR="00170A1A" w:rsidRPr="004E17E1" w:rsidRDefault="00170A1A" w:rsidP="009712DC">
      <w:pPr>
        <w:pStyle w:val="ListParagraph"/>
        <w:numPr>
          <w:ilvl w:val="1"/>
          <w:numId w:val="26"/>
        </w:numPr>
        <w:spacing w:before="240" w:after="240"/>
        <w:ind w:left="709" w:hanging="357"/>
        <w:jc w:val="both"/>
        <w:rPr>
          <w:rFonts w:ascii="Arial" w:hAnsi="Arial" w:cs="Arial"/>
          <w:sz w:val="18"/>
          <w:szCs w:val="18"/>
        </w:rPr>
      </w:pPr>
      <w:r w:rsidRPr="004E17E1">
        <w:rPr>
          <w:rFonts w:ascii="Arial" w:hAnsi="Arial"/>
          <w:color w:val="576C88" w:themeColor="text2" w:themeTint="D9"/>
          <w:sz w:val="18"/>
          <w:szCs w:val="18"/>
        </w:rPr>
        <w:t>vidékfejlesztéssel kapcsolatos népszerűsítés és tájékoztatás;</w:t>
      </w:r>
    </w:p>
    <w:p w:rsidR="00170A1A" w:rsidRPr="004E17E1" w:rsidRDefault="00170A1A" w:rsidP="009712DC">
      <w:pPr>
        <w:pStyle w:val="ListParagraph"/>
        <w:numPr>
          <w:ilvl w:val="1"/>
          <w:numId w:val="26"/>
        </w:numPr>
        <w:spacing w:before="240" w:after="240"/>
        <w:ind w:left="709" w:hanging="357"/>
        <w:contextualSpacing w:val="0"/>
        <w:jc w:val="both"/>
        <w:rPr>
          <w:rFonts w:ascii="Arial" w:hAnsi="Arial" w:cs="Arial"/>
          <w:sz w:val="18"/>
          <w:szCs w:val="18"/>
        </w:rPr>
      </w:pPr>
      <w:r w:rsidRPr="004E17E1">
        <w:rPr>
          <w:rFonts w:ascii="Arial" w:hAnsi="Arial"/>
          <w:color w:val="576C88" w:themeColor="text2" w:themeTint="D9"/>
          <w:sz w:val="18"/>
          <w:szCs w:val="18"/>
        </w:rPr>
        <w:t>részvétel az Európai Vidékfejlesztési Hálózatban, és annak gyarapítása.</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NVHP-k</w:t>
      </w:r>
    </w:p>
    <w:p w:rsidR="00170A1A" w:rsidRPr="004E17E1" w:rsidRDefault="00170A1A" w:rsidP="00A63707">
      <w:pPr>
        <w:spacing w:before="240" w:after="240"/>
        <w:ind w:left="363"/>
        <w:rPr>
          <w:rFonts w:cs="Arial"/>
          <w:szCs w:val="18"/>
        </w:rPr>
      </w:pPr>
      <w:r w:rsidRPr="004E17E1">
        <w:rPr>
          <w:color w:val="576C88" w:themeColor="text2" w:themeTint="D9"/>
          <w:szCs w:val="18"/>
        </w:rPr>
        <w:t>A regionális programokat alkalmazó tagállamokban az NVHP a tagállami vidékfejlesztési hálózat létrehozása és működtetése céljából működő egyedi programot jelenti.</w:t>
      </w:r>
    </w:p>
    <w:p w:rsidR="00170A1A" w:rsidRPr="004E17E1" w:rsidRDefault="00170A1A" w:rsidP="00A63707">
      <w:pPr>
        <w:spacing w:before="240" w:after="240"/>
        <w:ind w:left="363"/>
        <w:rPr>
          <w:rFonts w:cs="Arial"/>
          <w:b/>
          <w:color w:val="E7E6E6" w:themeColor="background2"/>
          <w:sz w:val="24"/>
        </w:rPr>
      </w:pP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Célkitűzés</w:t>
      </w:r>
    </w:p>
    <w:p w:rsidR="00170A1A" w:rsidRPr="004E17E1" w:rsidRDefault="00170A1A" w:rsidP="00A63707">
      <w:pPr>
        <w:spacing w:before="240" w:after="240"/>
        <w:ind w:left="363"/>
        <w:rPr>
          <w:rFonts w:cs="Arial"/>
          <w:szCs w:val="18"/>
        </w:rPr>
      </w:pPr>
      <w:r w:rsidRPr="004E17E1">
        <w:rPr>
          <w:color w:val="576C88" w:themeColor="text2" w:themeTint="D9"/>
          <w:szCs w:val="18"/>
        </w:rPr>
        <w:t xml:space="preserve">Egyértelmű, pontosan meghatározott kezdő nyilatkozat az állami beavatkozás által elérendő kihatásokról. A mennyiségi célkitűzést mutatók, a minőségi célkitűzést leírások formájában fogalmazzák meg, például: a harmadik év végére az összes kimenet 30%-át kell </w:t>
      </w:r>
      <w:r w:rsidRPr="004E17E1">
        <w:rPr>
          <w:color w:val="576C88" w:themeColor="text2" w:themeTint="D9"/>
          <w:szCs w:val="18"/>
        </w:rPr>
        <w:t>elérni; az állami beavatkozásnak először a tartós munkanélkülieket kell segítenie. A konkrét célkitűzések a beavatkozás közvetlen kedvezményezettekre vonatkozó eredményeit és hatásait taglalják. A globális célkitűzés a beavatkozás céljának felel meg. A beavatkozás célja olyan, globálisan kifejezett hatás kiváltása, mint például a fejlettségi szint tekintetében megfigyelhető regionális egyenlőtlenségek csökkentése. A célkitűzések köztesek is lehetnek. A kimenetek elérését meghatározó célkitűzéseket operatív célkitűzéseknek nevezik. Amennyiben az állami beavatkozás célkitűzéseit előzetesen nem határozták meg egyértelműen, az értékelésben megpróbálhatják azokat utólag pontosítani. Ebben az esetben implicit célkitűzésekről érdemes beszélni. A célkitűzések célszámokat is magukban foglalhatnak.</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Kimenet</w:t>
      </w:r>
    </w:p>
    <w:p w:rsidR="00170A1A" w:rsidRPr="004E17E1" w:rsidRDefault="00170A1A" w:rsidP="00A63707">
      <w:pPr>
        <w:spacing w:before="240" w:after="240"/>
        <w:ind w:left="363"/>
        <w:rPr>
          <w:rFonts w:cs="Arial"/>
          <w:szCs w:val="18"/>
        </w:rPr>
      </w:pPr>
      <w:r w:rsidRPr="004E17E1">
        <w:rPr>
          <w:color w:val="576C88" w:themeColor="text2" w:themeTint="D9"/>
          <w:szCs w:val="18"/>
        </w:rPr>
        <w:t>A beavatkozásra elkülönített pénzből finanszírozott és elért (vagy konkretizált) intézkedés. A projektgazda vállalja, hogy kimenetet nyújt közvetlenül az odaítélt támogatásért cserébe. A kimenet lehet létesítmény vagy üzem (például útépítés, gazdaságokba történő befektetés, idegenforgalmi szállás). Lehetnek immateriális szolgáltatások is (például oktatás, tanácsadás, tájékoztatás).</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Program</w:t>
      </w:r>
    </w:p>
    <w:p w:rsidR="00170A1A" w:rsidRPr="004E17E1" w:rsidRDefault="00170A1A" w:rsidP="00A63707">
      <w:pPr>
        <w:spacing w:before="240" w:after="240"/>
        <w:ind w:left="363"/>
        <w:rPr>
          <w:rFonts w:cs="Arial"/>
          <w:szCs w:val="18"/>
        </w:rPr>
      </w:pPr>
      <w:r w:rsidRPr="004E17E1">
        <w:rPr>
          <w:color w:val="576C88" w:themeColor="text2" w:themeTint="D9"/>
          <w:szCs w:val="18"/>
        </w:rPr>
        <w:t xml:space="preserve">Az adott időszakra meghatározott célkitűzés(ek) elérése érdekében mozgósított pénzügyi, szervezeti és humán beavatkozások szervezett összessége. A program az időkeret és a költségvetés szempontjából korlátozott. A program célkitűzéseit előre meghatározzák, majd szisztematikus </w:t>
      </w:r>
      <w:r w:rsidRPr="004E17E1">
        <w:rPr>
          <w:color w:val="576C88" w:themeColor="text2" w:themeTint="D9"/>
          <w:szCs w:val="18"/>
        </w:rPr>
        <w:lastRenderedPageBreak/>
        <w:t>erőfeszítéseket tesznek a célkitűzések közötti koherencia elérésére.</w:t>
      </w:r>
    </w:p>
    <w:p w:rsidR="00170A1A" w:rsidRPr="004E17E1" w:rsidRDefault="00170A1A" w:rsidP="009712DC">
      <w:pPr>
        <w:spacing w:before="240" w:after="240"/>
        <w:ind w:left="363"/>
        <w:rPr>
          <w:rFonts w:cs="Arial"/>
          <w:b/>
          <w:color w:val="E7E6E6" w:themeColor="background2"/>
          <w:sz w:val="24"/>
        </w:rPr>
      </w:pPr>
      <w:r w:rsidRPr="004E17E1">
        <w:rPr>
          <w:b/>
          <w:color w:val="E7E6E6" w:themeColor="background2"/>
          <w:sz w:val="24"/>
        </w:rPr>
        <w:t>Programspecifikus értékelési kérdések</w:t>
      </w:r>
    </w:p>
    <w:p w:rsidR="00170A1A" w:rsidRPr="004E17E1" w:rsidRDefault="00170A1A" w:rsidP="00A63707">
      <w:pPr>
        <w:spacing w:before="240" w:after="240"/>
        <w:ind w:left="363"/>
        <w:rPr>
          <w:rFonts w:cs="Arial"/>
          <w:szCs w:val="18"/>
        </w:rPr>
      </w:pPr>
      <w:r w:rsidRPr="004E17E1">
        <w:rPr>
          <w:color w:val="576C88" w:themeColor="text2" w:themeTint="D9"/>
          <w:szCs w:val="18"/>
        </w:rPr>
        <w:t>A programspecifikus értékelési kérdéseket az adott program értékelésének céljára fogalmazzák meg, hogy mélyebb betekintést nyerjenek a program átfogó végrehajtásába, vagy tükrözzék az adott program konkrét célkitűzéseit. Ezzel szemben a közös értékelési kérdések az összes programra vonatkoznak.</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Programspecifikus mutatók</w:t>
      </w:r>
    </w:p>
    <w:p w:rsidR="00170A1A" w:rsidRPr="004E17E1" w:rsidRDefault="00170A1A" w:rsidP="00A63707">
      <w:pPr>
        <w:spacing w:before="240" w:after="240"/>
        <w:ind w:left="363"/>
        <w:rPr>
          <w:rFonts w:cs="Arial"/>
          <w:szCs w:val="18"/>
        </w:rPr>
      </w:pPr>
      <w:r w:rsidRPr="004E17E1">
        <w:rPr>
          <w:color w:val="576C88" w:themeColor="text2" w:themeTint="D9"/>
          <w:szCs w:val="18"/>
        </w:rPr>
        <w:t>A mutató olyan mennyiségi vagy minőségi tényező vagy változó, amely egyszerű és megbízható eszköze a teljesítmény mérésének, a beavatkozással kapcsolatos változások tükrözésének vagy egy adott fejlesztési szereplő teljesítménye értékelésének. A minden tagállamra kötelező érvényű közös mutatók a teljesítmény és a változások mérésére szolgálnak mind a program szintjén, mind európai szinten. Mivel a közös mutatók nem mindig tükrözik teljes mértékben a program tevékenységeinek minden kihatását, a tagállamok irányító hatóságai</w:t>
      </w:r>
      <w:r>
        <w:rPr>
          <w:color w:val="576C88" w:themeColor="text2" w:themeTint="D9"/>
          <w:szCs w:val="18"/>
        </w:rPr>
        <w:t>nak kell</w:t>
      </w:r>
      <w:r w:rsidRPr="004E17E1">
        <w:rPr>
          <w:color w:val="576C88" w:themeColor="text2" w:themeTint="D9"/>
          <w:szCs w:val="18"/>
        </w:rPr>
        <w:t xml:space="preserve"> további mutatók meghatározásával </w:t>
      </w:r>
      <w:r>
        <w:rPr>
          <w:color w:val="576C88" w:themeColor="text2" w:themeTint="D9"/>
          <w:szCs w:val="18"/>
        </w:rPr>
        <w:t>ki</w:t>
      </w:r>
      <w:r w:rsidRPr="004E17E1">
        <w:rPr>
          <w:color w:val="576C88" w:themeColor="text2" w:themeTint="D9"/>
          <w:szCs w:val="18"/>
        </w:rPr>
        <w:t>egészít</w:t>
      </w:r>
      <w:r>
        <w:rPr>
          <w:color w:val="576C88" w:themeColor="text2" w:themeTint="D9"/>
          <w:szCs w:val="18"/>
        </w:rPr>
        <w:t>eniük</w:t>
      </w:r>
      <w:r w:rsidRPr="004E17E1">
        <w:rPr>
          <w:color w:val="576C88" w:themeColor="text2" w:themeTint="D9"/>
          <w:szCs w:val="18"/>
        </w:rPr>
        <w:t xml:space="preserve"> a közös mutatókat annak érdekében, hogy az adott program előirányzott kihatásait teljes körűen rögzítsék, különös tekintettel a nemzeti prioritásokra és a helyspecifikus intézkedésekre. Ezeket a további mutatókat hívják programspecifikus mutatóknak.</w:t>
      </w:r>
      <w:r w:rsidRPr="004E17E1">
        <w:rPr>
          <w:szCs w:val="18"/>
        </w:rPr>
        <w:t xml:space="preserve"> </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Relevancia</w:t>
      </w:r>
    </w:p>
    <w:p w:rsidR="00170A1A" w:rsidRPr="004E17E1" w:rsidRDefault="00170A1A" w:rsidP="00A63707">
      <w:pPr>
        <w:spacing w:before="240" w:after="240"/>
        <w:ind w:left="363"/>
        <w:rPr>
          <w:rFonts w:cs="Arial"/>
          <w:szCs w:val="18"/>
        </w:rPr>
      </w:pPr>
      <w:r w:rsidRPr="004E17E1">
        <w:rPr>
          <w:color w:val="576C88" w:themeColor="text2" w:themeTint="D9"/>
          <w:szCs w:val="18"/>
        </w:rPr>
        <w:t xml:space="preserve">Megmutatja, hogy a beavatkozás célkitűzései milyen mértékben illeszkednek az igényekhez, problémákhoz és kérdésekhez. A relevanciával </w:t>
      </w:r>
      <w:r w:rsidRPr="004E17E1">
        <w:rPr>
          <w:color w:val="576C88" w:themeColor="text2" w:themeTint="D9"/>
          <w:szCs w:val="18"/>
        </w:rPr>
        <w:t>kapcsolatos kérdések különösen az előzetes értékelés során fontosak, mivel a hangsúly a választott stratégián vagy annak igazolásán van. A félidős értékelés keretében tanácsos ellenőrizni, hogy a társadalmi-gazdasági háttér a várt módon alakult-e, és hogy ez a változás megkérdőjelezi-e az adott kezdeti célkitűzés relevanciáját.</w:t>
      </w:r>
      <w:r w:rsidRPr="004E17E1">
        <w:rPr>
          <w:szCs w:val="18"/>
        </w:rPr>
        <w:t xml:space="preserve"> </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Megbízhatóság</w:t>
      </w:r>
    </w:p>
    <w:p w:rsidR="00170A1A" w:rsidRPr="004E17E1" w:rsidRDefault="00170A1A" w:rsidP="00A63707">
      <w:pPr>
        <w:spacing w:before="240" w:after="240"/>
        <w:ind w:left="363"/>
        <w:rPr>
          <w:rFonts w:cs="Arial"/>
          <w:szCs w:val="18"/>
        </w:rPr>
      </w:pPr>
      <w:r w:rsidRPr="004E17E1">
        <w:rPr>
          <w:color w:val="576C88" w:themeColor="text2" w:themeTint="D9"/>
          <w:szCs w:val="18"/>
        </w:rPr>
        <w:t>Az értékelési adatok összegyűjtésének minősége, amennyiben az alkalmazott protokoll lehetővé teszi</w:t>
      </w:r>
      <w:r>
        <w:rPr>
          <w:color w:val="576C88" w:themeColor="text2" w:themeTint="D9"/>
          <w:szCs w:val="18"/>
        </w:rPr>
        <w:t>, hogy</w:t>
      </w:r>
      <w:r w:rsidRPr="004E17E1">
        <w:rPr>
          <w:color w:val="576C88" w:themeColor="text2" w:themeTint="D9"/>
          <w:szCs w:val="18"/>
        </w:rPr>
        <w:t xml:space="preserve"> azonos körülmények közötti ismételt megfigyelések során hasonló információk </w:t>
      </w:r>
      <w:r>
        <w:rPr>
          <w:color w:val="576C88" w:themeColor="text2" w:themeTint="D9"/>
          <w:szCs w:val="18"/>
        </w:rPr>
        <w:t>jöjjenek létre</w:t>
      </w:r>
      <w:r w:rsidRPr="004E17E1">
        <w:rPr>
          <w:color w:val="576C88" w:themeColor="text2" w:themeTint="D9"/>
          <w:szCs w:val="18"/>
        </w:rPr>
        <w:t>. A megbízhatóság a mintavétel szabályainak betartásától, valamint a mennyiségi és minőségi információk összegyűjtésére és rögzítésére használt eszközöktől függ.</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Eredmény</w:t>
      </w:r>
    </w:p>
    <w:p w:rsidR="00170A1A" w:rsidRPr="004E17E1" w:rsidRDefault="00170A1A" w:rsidP="00A63707">
      <w:pPr>
        <w:spacing w:before="240" w:after="240"/>
        <w:ind w:left="363"/>
        <w:rPr>
          <w:rFonts w:cs="Arial"/>
          <w:szCs w:val="18"/>
        </w:rPr>
      </w:pPr>
      <w:r w:rsidRPr="004E17E1">
        <w:rPr>
          <w:color w:val="576C88" w:themeColor="text2" w:themeTint="D9"/>
          <w:szCs w:val="18"/>
        </w:rPr>
        <w:t>A közvetlen kedvezményezettek által az állami beavatkozásban való részvételük végén, vagy a nyilvános létesítmény elkészülésekor szerzett előnyök (vagy hátrányok). Az eredmények akkor észlelhetők, amikor a gazdasági szereplő (operátor) befejez egy tevékenységet, és számot ad a megállapított támogatások elköltéséről és igazgatásáról. Ezen a ponton bemutathatja például, hogy javult a hozzáférhetőség a megépített út miatt, vagy elégedettek azok a vállalatok, amelyek tanácsokat kaptak. Az operátor rendszeresen ellenőrizheti az eredményeket. A beavatkozás végrehajtását az elért eredményekhez kell igazítani</w:t>
      </w:r>
      <w:r>
        <w:rPr>
          <w:color w:val="576C88" w:themeColor="text2" w:themeTint="D9"/>
          <w:szCs w:val="18"/>
        </w:rPr>
        <w:t>a</w:t>
      </w:r>
      <w:r w:rsidRPr="004E17E1">
        <w:rPr>
          <w:color w:val="576C88" w:themeColor="text2" w:themeTint="D9"/>
          <w:szCs w:val="18"/>
        </w:rPr>
        <w:t>.</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Alaposság</w:t>
      </w:r>
    </w:p>
    <w:p w:rsidR="00170A1A" w:rsidRPr="004E17E1" w:rsidRDefault="00170A1A" w:rsidP="00A63707">
      <w:pPr>
        <w:spacing w:before="240" w:after="240"/>
        <w:ind w:left="363"/>
        <w:rPr>
          <w:rFonts w:cs="Arial"/>
          <w:szCs w:val="18"/>
        </w:rPr>
      </w:pPr>
      <w:r w:rsidRPr="004E17E1">
        <w:rPr>
          <w:color w:val="576C88" w:themeColor="text2" w:themeTint="D9"/>
          <w:szCs w:val="18"/>
        </w:rPr>
        <w:t xml:space="preserve">A tanulmány vonatkozásában az „alapos” módszer olyan módszer, amelyet </w:t>
      </w:r>
      <w:r w:rsidRPr="004E17E1">
        <w:rPr>
          <w:color w:val="576C88" w:themeColor="text2" w:themeTint="D9"/>
          <w:szCs w:val="18"/>
        </w:rPr>
        <w:lastRenderedPageBreak/>
        <w:t>tudományos folyóiratokban bemutatnak, alkalmaznak és továbbfejlesztenek. Az alaposabb módszert szélesebb körben alkalmazza és fogadja el a tudományos közösség vagy az értékelők közössége, és módszertani tankönyvekben is leírják. Az okozati összefüggések számszerűsítésére alkalmas módszerek alaposabbnak tekinthetők más módszereknél.</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Megalapozottság</w:t>
      </w:r>
    </w:p>
    <w:p w:rsidR="00170A1A" w:rsidRPr="004E17E1" w:rsidRDefault="00170A1A" w:rsidP="00A63707">
      <w:pPr>
        <w:spacing w:before="240" w:after="240"/>
        <w:ind w:left="363"/>
        <w:rPr>
          <w:rFonts w:cs="Arial"/>
          <w:szCs w:val="18"/>
        </w:rPr>
      </w:pPr>
      <w:r w:rsidRPr="004E17E1">
        <w:rPr>
          <w:color w:val="576C88" w:themeColor="text2" w:themeTint="D9"/>
          <w:szCs w:val="18"/>
        </w:rPr>
        <w:t>Az értékelési szakirodalom különböző módokon határozza meg a megalapozottság fogalmát. Az ökonometriában a megalapozottságot különböző összefüggésekben használják (például elfogult és elfogulatlan értékelők, modell- és változóválasztás), ezért a kontextustól függően eltérő jelentései vannak. E tanulmány</w:t>
      </w:r>
      <w:r>
        <w:rPr>
          <w:color w:val="576C88" w:themeColor="text2" w:themeTint="D9"/>
          <w:szCs w:val="18"/>
        </w:rPr>
        <w:t xml:space="preserve"> összefüggésében</w:t>
      </w:r>
      <w:r w:rsidRPr="004E17E1">
        <w:rPr>
          <w:color w:val="576C88" w:themeColor="text2" w:themeTint="D9"/>
          <w:szCs w:val="18"/>
        </w:rPr>
        <w:t xml:space="preserve"> a megalapozottság akkor nagy, ha az eredmények stabilak és rugalmasak a kis mértékű de szándékos változások tekintetében (például további egy év megfigyelés, további magyarázó változó, másik érdekelt, másik értékelő). Néhány módszernél a megalapozottság érzékenységi elemzéssel ellenőrizhető.</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Önértékelés</w:t>
      </w:r>
    </w:p>
    <w:p w:rsidR="00170A1A" w:rsidRPr="004E17E1" w:rsidRDefault="00170A1A" w:rsidP="00A63707">
      <w:pPr>
        <w:spacing w:before="240" w:after="240"/>
        <w:ind w:left="363"/>
        <w:rPr>
          <w:rFonts w:cs="Arial"/>
          <w:szCs w:val="18"/>
        </w:rPr>
      </w:pPr>
      <w:r w:rsidRPr="004E17E1">
        <w:rPr>
          <w:color w:val="576C88" w:themeColor="text2" w:themeTint="D9"/>
          <w:szCs w:val="18"/>
        </w:rPr>
        <w:t>Az önértékelés olyan folyamatos reflektív eljárás, amelyet a beavatkozást végrehajtók vagy abban részt vevők (például programirányítók, kedvezményezettek, hálózati tagok) végeznek. Betekintést nyújt a tevékenységekbe, és az átfogó teljesítményre összpontosít. A bevont szereplők elemzik a tevékenységek végrehajtásának módját, és felteszik azt a kérdést, hogy hogyan járultak hozzá a megállapított célkitűzések és célok teljesítéséhez. Az önértékelés részvételen alapuló jellege tanulási hatást eredményez a résztvevők körében.</w:t>
      </w:r>
      <w:r w:rsidRPr="004E17E1">
        <w:rPr>
          <w:szCs w:val="18"/>
        </w:rPr>
        <w:t xml:space="preserve"> </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Feladatmeghatározás</w:t>
      </w:r>
    </w:p>
    <w:p w:rsidR="00170A1A" w:rsidRPr="004E17E1" w:rsidRDefault="00170A1A" w:rsidP="00A63707">
      <w:pPr>
        <w:spacing w:before="240" w:after="240"/>
        <w:ind w:left="363"/>
        <w:rPr>
          <w:rFonts w:cs="Arial"/>
          <w:szCs w:val="18"/>
        </w:rPr>
      </w:pPr>
      <w:r w:rsidRPr="004E17E1">
        <w:rPr>
          <w:color w:val="576C88" w:themeColor="text2" w:themeTint="D9"/>
          <w:szCs w:val="18"/>
        </w:rPr>
        <w:t>A feladatmeghatározás megadja az értékeléssel/skv-vel kapcsolatos feladatok elvégzésének feltételeit, meghatározza a szerepeket és feladatköröket, továbbá tájékoztatja a lehetséges értékelőket/skv-szakértőket a tartalommal, folyamattal és ütemezéssel kapcsolatos elvárásokról. A pályázók javasolt feltételekre adott válasza, amennyiben azokat pontosan meghatározták a feladatmeghatározásban, kulcsinformációkat szolgáltathat a feladat ellátására való alkalmasságukkal kapcsolatosan.</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Változáselmélet</w:t>
      </w:r>
    </w:p>
    <w:p w:rsidR="00170A1A" w:rsidRPr="004E17E1" w:rsidRDefault="00170A1A" w:rsidP="00A63707">
      <w:pPr>
        <w:spacing w:before="240" w:after="240"/>
        <w:ind w:left="363"/>
        <w:rPr>
          <w:rFonts w:cs="Arial"/>
          <w:szCs w:val="18"/>
        </w:rPr>
      </w:pPr>
      <w:r w:rsidRPr="004E17E1">
        <w:rPr>
          <w:color w:val="576C88" w:themeColor="text2" w:themeTint="D9"/>
          <w:szCs w:val="18"/>
        </w:rPr>
        <w:t>Az elméletalapú értékelésekben gyakran használt változáselmélet leírja azokat a feltételezéseket, amelyek megmagyarázzák a hosszú távú célok eléréséhez vezető kis lépéseket, valamint a szakpolitika vagy program tevékenységei és a lépésekből következő eredmények között</w:t>
      </w:r>
      <w:r>
        <w:rPr>
          <w:color w:val="576C88" w:themeColor="text2" w:themeTint="D9"/>
          <w:szCs w:val="18"/>
        </w:rPr>
        <w:t>i</w:t>
      </w:r>
      <w:r w:rsidRPr="004E17E1">
        <w:rPr>
          <w:color w:val="576C88" w:themeColor="text2" w:themeTint="D9"/>
          <w:szCs w:val="18"/>
        </w:rPr>
        <w:t xml:space="preserve"> kapcsolatot. Az elméletalapú megközelítésben a szakpolitika kialakítóinak, a program irányítóinak vagy más érdekelteknek az elméleteire fordítanak figyelmet, például feltételezések és empirikusan ellenőrizhető feltevések gyűjteményére, amelyek logikailag kapcsolódnak egymáshoz. Feltételezi, hogy a programok explicit vagy implicit elméleten alapulnak arra vonatkozóan, hogy a program hogyan és miért fog működni. Az elméletalapú értékelés fő jellemzője, hogy kifejezett okozati láncot (vagy változáselméletet) biztosít, amely összekapcsolja a beavatkozást a konkrét hatásokkal, majd </w:t>
      </w:r>
      <w:r>
        <w:rPr>
          <w:color w:val="576C88" w:themeColor="text2" w:themeTint="D9"/>
          <w:szCs w:val="18"/>
        </w:rPr>
        <w:t xml:space="preserve">ezt </w:t>
      </w:r>
      <w:r w:rsidRPr="004E17E1">
        <w:rPr>
          <w:color w:val="576C88" w:themeColor="text2" w:themeTint="D9"/>
          <w:szCs w:val="18"/>
        </w:rPr>
        <w:t xml:space="preserve">az okozati láncot felhasználja a bizonyítékok gyűjtésének irányítására és az okozati viszony elemzésére olyan feltevések kidolgozásával, amelyeket </w:t>
      </w:r>
      <w:r w:rsidRPr="004E17E1">
        <w:rPr>
          <w:color w:val="576C88" w:themeColor="text2" w:themeTint="D9"/>
          <w:szCs w:val="18"/>
        </w:rPr>
        <w:lastRenderedPageBreak/>
        <w:t>kritikus összehasonlításokban lehet tesztelni.</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Átláthatóság</w:t>
      </w:r>
    </w:p>
    <w:p w:rsidR="00170A1A" w:rsidRPr="004E17E1" w:rsidRDefault="00170A1A" w:rsidP="00A63707">
      <w:pPr>
        <w:spacing w:before="240" w:after="240"/>
        <w:ind w:left="363"/>
        <w:rPr>
          <w:rFonts w:cs="Arial"/>
          <w:szCs w:val="18"/>
        </w:rPr>
      </w:pPr>
      <w:r w:rsidRPr="004E17E1">
        <w:rPr>
          <w:color w:val="576C88" w:themeColor="text2" w:themeTint="D9"/>
          <w:szCs w:val="18"/>
        </w:rPr>
        <w:t>Az értékelési módszer átláthatóságát az biztosítja, ha a felhasználók pontosan ismerik annak fő elemeit, szerkezetét, paramétereit, szabályait és funkcionális válaszait. A felhasználó így ellenőrizni tudja, hogy betartják-e ezeket. Az összehasonlítás érvényes meghatározásához egyértelmű és átlátható hozzárendelési szabályok kellenek.</w:t>
      </w:r>
    </w:p>
    <w:p w:rsidR="00170A1A" w:rsidRPr="004E17E1" w:rsidRDefault="00170A1A" w:rsidP="00A63707">
      <w:pPr>
        <w:spacing w:before="240" w:after="240"/>
        <w:ind w:left="363"/>
        <w:rPr>
          <w:rFonts w:cs="Arial"/>
          <w:b/>
          <w:color w:val="E7E6E6" w:themeColor="background2"/>
          <w:sz w:val="24"/>
        </w:rPr>
      </w:pPr>
      <w:r w:rsidRPr="004E17E1">
        <w:rPr>
          <w:b/>
          <w:color w:val="E7E6E6" w:themeColor="background2"/>
          <w:sz w:val="24"/>
        </w:rPr>
        <w:t>Érvényesség</w:t>
      </w:r>
    </w:p>
    <w:p w:rsidR="00170A1A" w:rsidRPr="004E17E1" w:rsidRDefault="00170A1A" w:rsidP="00A63707">
      <w:pPr>
        <w:spacing w:before="240" w:after="240"/>
        <w:ind w:left="363"/>
        <w:rPr>
          <w:rFonts w:cs="Arial"/>
          <w:color w:val="576C88" w:themeColor="text2" w:themeTint="D9"/>
          <w:szCs w:val="18"/>
        </w:rPr>
      </w:pPr>
      <w:r w:rsidRPr="004E17E1">
        <w:rPr>
          <w:color w:val="576C88" w:themeColor="text2" w:themeTint="D9"/>
          <w:szCs w:val="18"/>
        </w:rPr>
        <w:t>Belső, külső és konvergens érvényességre utalhat. „Belső érvényesség”: A nem empirikus módszerek eredményei akkor érvényesek, ha logikusak. Az empirikus módszerek eredményei akkor érvényesek, ha logikusak és tényszerűek. A logikusságot igazolni lehet, és a nagyfokú átláthatóság ezt könnyebbé teszi. A tényszerűség akkor igazolt, ha az eredmény az általában nem megfigyelhető valódi paraméterrel azonos (lásd még: összehasonlító eset). A „külső érvényesség” az empirikus kutatás minőségének mérésére szolgál. Ebben a tanulmányban a „külső érvényesség” azt jelenti, hogy az esettanulmányban kapott eredmények többé-kevésbé ugyanazok lennének-e, ha hasonló program zajlik más kontextusban. A „konvergens érvényesség” akkor áll fenn, ha ugyanannak a kutatási kérdésnek különböző módszerekkel történő megvizsgálása hasonló eredményt ad.</w:t>
      </w:r>
    </w:p>
    <w:p w:rsidR="00170A1A" w:rsidRPr="004E17E1" w:rsidRDefault="00170A1A" w:rsidP="00A63707">
      <w:pPr>
        <w:spacing w:before="240" w:after="240"/>
        <w:ind w:left="363"/>
        <w:rPr>
          <w:rFonts w:cs="Arial"/>
          <w:szCs w:val="18"/>
        </w:rPr>
        <w:sectPr w:rsidR="00170A1A" w:rsidRPr="004E17E1" w:rsidSect="00502BFD">
          <w:pgSz w:w="11906" w:h="16838" w:code="9"/>
          <w:pgMar w:top="1440" w:right="1440" w:bottom="1440" w:left="1440" w:header="1134" w:footer="1021" w:gutter="0"/>
          <w:cols w:num="2" w:space="708"/>
          <w:titlePg/>
          <w:docGrid w:linePitch="360"/>
        </w:sectPr>
      </w:pPr>
    </w:p>
    <w:p w:rsidR="00170A1A" w:rsidRPr="004E17E1" w:rsidRDefault="00170A1A">
      <w:pPr>
        <w:spacing w:after="0" w:line="240" w:lineRule="auto"/>
        <w:rPr>
          <w:rFonts w:cs="Arial"/>
          <w:color w:val="576C88" w:themeColor="text2" w:themeTint="D9"/>
          <w:sz w:val="20"/>
          <w:szCs w:val="20"/>
        </w:rPr>
      </w:pPr>
    </w:p>
    <w:p w:rsidR="00170A1A" w:rsidRPr="004E17E1" w:rsidRDefault="00170A1A" w:rsidP="00923616">
      <w:pPr>
        <w:pStyle w:val="HStandard"/>
      </w:pPr>
    </w:p>
    <w:p w:rsidR="00170A1A" w:rsidRPr="008D0759" w:rsidRDefault="00170A1A">
      <w:pPr>
        <w:spacing w:after="0" w:line="240" w:lineRule="auto"/>
        <w:rPr>
          <w:rFonts w:cs="Arial"/>
        </w:rPr>
      </w:pPr>
      <w:r w:rsidRPr="004E17E1">
        <w:rPr>
          <w:rFonts w:cs="Arial"/>
          <w:noProof/>
          <w:lang w:eastAsia="en-GB"/>
        </w:rPr>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170A1A" w:rsidRPr="008D0759" w:rsidRDefault="00170A1A" w:rsidP="00923616">
      <w:pPr>
        <w:pStyle w:val="HStandard"/>
      </w:pPr>
    </w:p>
    <w:p w:rsidR="00C23794" w:rsidRDefault="00E04D8B">
      <w:bookmarkStart w:id="315" w:name="_GoBack"/>
      <w:bookmarkEnd w:id="315"/>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4D8B" w:rsidRDefault="00E04D8B" w:rsidP="00170A1A">
      <w:pPr>
        <w:spacing w:after="0" w:line="240" w:lineRule="auto"/>
      </w:pPr>
      <w:r>
        <w:separator/>
      </w:r>
    </w:p>
  </w:endnote>
  <w:endnote w:type="continuationSeparator" w:id="0">
    <w:p w:rsidR="00E04D8B" w:rsidRDefault="00E04D8B" w:rsidP="00170A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A00002AF"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Default="00170A1A">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70</w:t>
    </w:r>
    <w:r>
      <w:rPr>
        <w:rStyle w:val="PageNumber"/>
      </w:rPr>
      <w:fldChar w:fldCharType="end"/>
    </w:r>
    <w:r>
      <w:rPr>
        <w:rStyle w:val="PageNumber"/>
      </w:rPr>
      <w:tab/>
    </w:r>
    <w:r>
      <w:rPr>
        <w:noProof/>
        <w:lang w:val="en-GB" w:eastAsia="en-GB"/>
      </w:rPr>
      <w:drawing>
        <wp:inline distT="0" distB="0" distL="0" distR="0" wp14:anchorId="7A7A5FD2" wp14:editId="43BAE337">
          <wp:extent cx="971550" cy="247650"/>
          <wp:effectExtent l="19050" t="0" r="0" b="0"/>
          <wp:docPr id="6"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A40754" w:rsidRDefault="00170A1A"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A40754" w:rsidRDefault="00170A1A"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8</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A40754" w:rsidRDefault="00170A1A"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A40754" w:rsidRDefault="00170A1A"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32</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4733A5" w:rsidRDefault="00170A1A"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127</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A40754" w:rsidRDefault="00170A1A"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121</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6B68" w:rsidRPr="00150D5B" w:rsidRDefault="00E04D8B"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6B68" w:rsidRPr="00150D5B" w:rsidRDefault="00E04D8B"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4D8B" w:rsidRDefault="00E04D8B" w:rsidP="00170A1A">
      <w:pPr>
        <w:spacing w:after="0" w:line="240" w:lineRule="auto"/>
      </w:pPr>
      <w:r>
        <w:separator/>
      </w:r>
    </w:p>
  </w:footnote>
  <w:footnote w:type="continuationSeparator" w:id="0">
    <w:p w:rsidR="00E04D8B" w:rsidRDefault="00E04D8B" w:rsidP="00170A1A">
      <w:pPr>
        <w:spacing w:after="0" w:line="240" w:lineRule="auto"/>
      </w:pPr>
      <w:r>
        <w:continuationSeparator/>
      </w:r>
    </w:p>
  </w:footnote>
  <w:footnote w:id="1">
    <w:p w:rsidR="00170A1A" w:rsidRPr="00864DD2" w:rsidRDefault="00170A1A" w:rsidP="00790A04">
      <w:pPr>
        <w:pStyle w:val="FootnoteText"/>
        <w:rPr>
          <w:highlight w:val="yellow"/>
        </w:rPr>
      </w:pPr>
      <w:r>
        <w:rPr>
          <w:rStyle w:val="FootnoteReference"/>
        </w:rPr>
        <w:footnoteRef/>
      </w:r>
      <w:r>
        <w:t xml:space="preserve"> </w:t>
      </w:r>
      <w:r>
        <w:tab/>
      </w:r>
      <w:r>
        <w:rPr>
          <w:szCs w:val="16"/>
          <w:highlight w:val="yellow"/>
        </w:rPr>
        <w:t>Regionális VFP-ket alkalmazó tagállamok esetén</w:t>
      </w:r>
      <w:r>
        <w:rPr>
          <w:highlight w:val="yellow"/>
        </w:rPr>
        <w:t>.</w:t>
      </w:r>
    </w:p>
  </w:footnote>
  <w:footnote w:id="2">
    <w:p w:rsidR="00170A1A" w:rsidRPr="00864DD2" w:rsidRDefault="00170A1A" w:rsidP="00790A04">
      <w:pPr>
        <w:pStyle w:val="FootnoteText"/>
        <w:rPr>
          <w:highlight w:val="yellow"/>
        </w:rPr>
      </w:pPr>
      <w:r w:rsidRPr="00864DD2">
        <w:rPr>
          <w:rStyle w:val="FootnoteReference"/>
          <w:highlight w:val="yellow"/>
        </w:rPr>
        <w:footnoteRef/>
      </w:r>
      <w:r>
        <w:rPr>
          <w:highlight w:val="yellow"/>
        </w:rPr>
        <w:t xml:space="preserve"> </w:t>
      </w:r>
      <w:r>
        <w:rPr>
          <w:highlight w:val="yellow"/>
        </w:rPr>
        <w:tab/>
      </w:r>
      <w:r>
        <w:rPr>
          <w:szCs w:val="16"/>
          <w:highlight w:val="yellow"/>
        </w:rPr>
        <w:t>Az 1305/2013/EU rendelet 54. cikkének (1) bekezdése.</w:t>
      </w:r>
    </w:p>
  </w:footnote>
  <w:footnote w:id="3">
    <w:p w:rsidR="00170A1A" w:rsidRPr="00864DD2" w:rsidRDefault="00170A1A" w:rsidP="00790A04">
      <w:pPr>
        <w:pStyle w:val="FootnoteText"/>
        <w:rPr>
          <w:highlight w:val="yellow"/>
        </w:rPr>
      </w:pPr>
      <w:r w:rsidRPr="00864DD2">
        <w:rPr>
          <w:rStyle w:val="FootnoteReference"/>
          <w:highlight w:val="yellow"/>
        </w:rPr>
        <w:footnoteRef/>
      </w:r>
      <w:r>
        <w:rPr>
          <w:szCs w:val="16"/>
          <w:highlight w:val="yellow"/>
        </w:rPr>
        <w:t xml:space="preserve"> </w:t>
      </w:r>
      <w:r>
        <w:rPr>
          <w:szCs w:val="16"/>
          <w:highlight w:val="yellow"/>
        </w:rPr>
        <w:tab/>
        <w:t>Az 1303/2013/EU rendelet 54. cikke.</w:t>
      </w:r>
    </w:p>
  </w:footnote>
  <w:footnote w:id="4">
    <w:p w:rsidR="00170A1A" w:rsidRPr="00F7430B" w:rsidRDefault="00170A1A" w:rsidP="00790A04">
      <w:pPr>
        <w:pStyle w:val="FootnoteText"/>
      </w:pPr>
      <w:r w:rsidRPr="00864DD2">
        <w:rPr>
          <w:rStyle w:val="FootnoteReference"/>
          <w:highlight w:val="yellow"/>
        </w:rPr>
        <w:footnoteRef/>
      </w:r>
      <w:r>
        <w:rPr>
          <w:highlight w:val="yellow"/>
        </w:rPr>
        <w:t xml:space="preserve"> </w:t>
      </w:r>
      <w:r>
        <w:rPr>
          <w:highlight w:val="yellow"/>
        </w:rPr>
        <w:tab/>
      </w:r>
      <w:hyperlink r:id="rId1" w:history="1">
        <w:r>
          <w:rPr>
            <w:highlight w:val="yellow"/>
          </w:rPr>
          <w:t>Iránymutatások:</w:t>
        </w:r>
      </w:hyperlink>
      <w:hyperlink r:id="rId2" w:history="1">
        <w:r>
          <w:rPr>
            <w:highlight w:val="yellow"/>
          </w:rPr>
          <w:t xml:space="preserve"> A 2014–2020-as időszakra vonatkozó VFP-k értékelési tervének kialakítása és végrehajtása</w:t>
        </w:r>
      </w:hyperlink>
      <w:r>
        <w:rPr>
          <w:highlight w:val="yellow"/>
        </w:rPr>
        <w:t>, az Európai Vidékfejlesztési Értékelési Hálózat támogatási szolgálata, Brüsszel, 2014</w:t>
      </w:r>
      <w:r>
        <w:t xml:space="preserve">. </w:t>
      </w:r>
    </w:p>
  </w:footnote>
  <w:footnote w:id="5">
    <w:p w:rsidR="00170A1A" w:rsidRPr="0028109E" w:rsidRDefault="00170A1A" w:rsidP="00E92B7B">
      <w:pPr>
        <w:pStyle w:val="FootnoteText"/>
        <w:rPr>
          <w:highlight w:val="yellow"/>
        </w:rPr>
      </w:pPr>
      <w:r>
        <w:rPr>
          <w:rStyle w:val="FootnoteReference"/>
        </w:rPr>
        <w:footnoteRef/>
      </w:r>
      <w:r>
        <w:t xml:space="preserve"> </w:t>
      </w:r>
      <w:r>
        <w:tab/>
      </w:r>
      <w:r>
        <w:rPr>
          <w:highlight w:val="yellow"/>
        </w:rPr>
        <w:t xml:space="preserve">Munkadokumentum: A 2014–2020-as időszakban megvalósítandó vidékfejlesztési programokra vonatkozó közös értékelési kérdések </w:t>
      </w:r>
      <w:hyperlink r:id="rId3" w:history="1">
        <w:r>
          <w:rPr>
            <w:highlight w:val="yellow"/>
          </w:rPr>
          <w:t>http://enrd.ec.europa.eu/en/evaluation-helpdesks-publications</w:t>
        </w:r>
      </w:hyperlink>
      <w:r>
        <w:t xml:space="preserve"> </w:t>
      </w:r>
    </w:p>
  </w:footnote>
  <w:footnote w:id="6">
    <w:p w:rsidR="00170A1A" w:rsidRPr="0028109E" w:rsidRDefault="00170A1A" w:rsidP="00E92B7B">
      <w:pPr>
        <w:pStyle w:val="FootnoteText"/>
        <w:rPr>
          <w:highlight w:val="yellow"/>
        </w:rPr>
      </w:pPr>
      <w:r w:rsidRPr="0028109E">
        <w:rPr>
          <w:rStyle w:val="FootnoteReference"/>
          <w:highlight w:val="yellow"/>
        </w:rPr>
        <w:footnoteRef/>
      </w:r>
      <w:r>
        <w:rPr>
          <w:highlight w:val="yellow"/>
        </w:rPr>
        <w:t xml:space="preserve"> </w:t>
      </w:r>
      <w:r>
        <w:rPr>
          <w:highlight w:val="yellow"/>
        </w:rPr>
        <w:tab/>
        <w:t>A Bizottság 808/2014/EU végrehajtási rendeletének 14. cikke.</w:t>
      </w:r>
    </w:p>
  </w:footnote>
  <w:footnote w:id="7">
    <w:p w:rsidR="00170A1A" w:rsidRPr="0028109E" w:rsidRDefault="00170A1A" w:rsidP="00E92B7B">
      <w:pPr>
        <w:pStyle w:val="FootnoteText"/>
        <w:rPr>
          <w:highlight w:val="yellow"/>
        </w:rPr>
      </w:pPr>
      <w:r w:rsidRPr="0028109E">
        <w:rPr>
          <w:rStyle w:val="FootnoteReference"/>
          <w:highlight w:val="yellow"/>
        </w:rPr>
        <w:footnoteRef/>
      </w:r>
      <w:r>
        <w:rPr>
          <w:highlight w:val="yellow"/>
        </w:rPr>
        <w:t xml:space="preserve"> </w:t>
      </w:r>
      <w:r>
        <w:rPr>
          <w:highlight w:val="yellow"/>
        </w:rPr>
        <w:tab/>
        <w:t>„</w:t>
      </w:r>
      <w:hyperlink r:id="rId4" w:history="1">
        <w:r>
          <w:rPr>
            <w:highlight w:val="yellow"/>
          </w:rPr>
          <w:t>Iránymutatás a 2014–2020-as időszakban megvalósítandó VFP-k utólagos értékeléséhez” és „</w:t>
        </w:r>
      </w:hyperlink>
      <w:r>
        <w:rPr>
          <w:highlight w:val="yellow"/>
        </w:rPr>
        <w:t>Iránymutatás a 2014–2020-as időszakban megvalósítandó VFP-k utólagos értékeléséhez” és „</w:t>
      </w:r>
      <w:hyperlink r:id="rId5" w:history="1">
        <w:r>
          <w:rPr>
            <w:highlight w:val="yellow"/>
          </w:rPr>
          <w:t>Iránymutatás:</w:t>
        </w:r>
      </w:hyperlink>
      <w:hyperlink r:id="rId6" w:history="1">
        <w:r>
          <w:rPr>
            <w:highlight w:val="yellow"/>
          </w:rPr>
          <w:t xml:space="preserve"> A 2014–2020-as időszakban megvalósítandó VFP-kre vonatkozó értékelési terv kidolgozása és megvalósítása</w:t>
        </w:r>
      </w:hyperlink>
      <w:r>
        <w:rPr>
          <w:highlight w:val="yellow"/>
        </w:rPr>
        <w:t>”</w:t>
      </w:r>
    </w:p>
  </w:footnote>
  <w:footnote w:id="8">
    <w:p w:rsidR="00170A1A" w:rsidRPr="0024703B" w:rsidRDefault="00170A1A" w:rsidP="003E7D43">
      <w:pPr>
        <w:pStyle w:val="FootnoteText"/>
      </w:pPr>
      <w:r w:rsidRPr="0028109E">
        <w:rPr>
          <w:rStyle w:val="FootnoteReference"/>
          <w:highlight w:val="yellow"/>
        </w:rPr>
        <w:footnoteRef/>
      </w:r>
      <w:r>
        <w:rPr>
          <w:highlight w:val="yellow"/>
        </w:rPr>
        <w:t xml:space="preserve"> </w:t>
      </w:r>
      <w:r>
        <w:rPr>
          <w:highlight w:val="yellow"/>
        </w:rPr>
        <w:tab/>
        <w:t>Az NVH-iránymutatást kidolgozó tematikus munkacsoport véleményező testülete a Mezőgazdasági és Vidékfejlesztési Főigazgatóság, a 2014–2020-as időszakra vonatkozó KAP monitoringját és értékelését végző szakértői csoport, valamint az EVH kapcsolattartó pontjának képviselőiből állt.</w:t>
      </w:r>
      <w:r>
        <w:t xml:space="preserve"> </w:t>
      </w:r>
    </w:p>
  </w:footnote>
  <w:footnote w:id="9">
    <w:p w:rsidR="00170A1A" w:rsidRPr="00A21714" w:rsidRDefault="00170A1A" w:rsidP="00923616">
      <w:pPr>
        <w:pStyle w:val="FootnoteText"/>
        <w:rPr>
          <w:highlight w:val="yellow"/>
        </w:rPr>
      </w:pPr>
      <w:r w:rsidRPr="00306550">
        <w:rPr>
          <w:rStyle w:val="FootnoteReference"/>
        </w:rPr>
        <w:footnoteRef/>
      </w:r>
      <w:r>
        <w:t xml:space="preserve"> </w:t>
      </w:r>
      <w:r>
        <w:tab/>
      </w:r>
      <w:r>
        <w:rPr>
          <w:szCs w:val="16"/>
          <w:highlight w:val="yellow"/>
        </w:rPr>
        <w:t>Roelofs, M. (2004), Criteria for the evaluation of public action taking place within networks (Hálózatokban végrehajtott állami intézkedések értékelésének kritériumai), Holland Számvevőszék, Hága</w:t>
      </w:r>
    </w:p>
  </w:footnote>
  <w:footnote w:id="10">
    <w:p w:rsidR="00170A1A" w:rsidRPr="00A21714" w:rsidRDefault="00170A1A" w:rsidP="00923616">
      <w:pPr>
        <w:pStyle w:val="FootnoteText"/>
        <w:rPr>
          <w:rFonts w:cs="Arial"/>
          <w:szCs w:val="16"/>
          <w:highlight w:val="yellow"/>
        </w:rPr>
      </w:pPr>
      <w:r w:rsidRPr="00A21714">
        <w:rPr>
          <w:rStyle w:val="FootnoteReference"/>
          <w:szCs w:val="16"/>
          <w:highlight w:val="yellow"/>
          <w:lang w:eastAsia="fr-FR"/>
        </w:rPr>
        <w:footnoteRef/>
      </w:r>
      <w:r>
        <w:rPr>
          <w:szCs w:val="16"/>
          <w:highlight w:val="yellow"/>
        </w:rPr>
        <w:t xml:space="preserve"> What do we know about networking as a Rural Development Policy Tool (2007-2013)? (A 2007–2013-as időszakban a vidékfejlesztési politikai eszközeként alkalmazott hálózatépítésre vonatkozó ismereteink) EVH, vitaanyag, 2. verzió (2012. június)</w:t>
      </w:r>
    </w:p>
  </w:footnote>
  <w:footnote w:id="11">
    <w:p w:rsidR="00170A1A" w:rsidRPr="00A21714" w:rsidRDefault="00170A1A" w:rsidP="00923616">
      <w:pPr>
        <w:pStyle w:val="FootnoteText"/>
        <w:rPr>
          <w:rFonts w:cs="Arial"/>
          <w:szCs w:val="16"/>
          <w:highlight w:val="yellow"/>
        </w:rPr>
      </w:pPr>
      <w:r w:rsidRPr="00A21714">
        <w:rPr>
          <w:rStyle w:val="FootnoteReference"/>
          <w:szCs w:val="16"/>
          <w:highlight w:val="yellow"/>
          <w:lang w:eastAsia="fr-FR"/>
        </w:rPr>
        <w:footnoteRef/>
      </w:r>
      <w:r>
        <w:rPr>
          <w:szCs w:val="16"/>
          <w:highlight w:val="yellow"/>
        </w:rPr>
        <w:t xml:space="preserve"> What do we know about networking as a Rural Development Policy Tool (2007-2013)? (A 2007–2013-as időszakban a vidékfejlesztési politikai eszközeként alkalmazott hálózatépítésre vonatkozó ismereteink) EVH, vitaanyag, 2. verzió (2012. június)</w:t>
      </w:r>
    </w:p>
  </w:footnote>
  <w:footnote w:id="12">
    <w:p w:rsidR="00170A1A" w:rsidRPr="00A21714" w:rsidRDefault="00170A1A" w:rsidP="00ED27DC">
      <w:pPr>
        <w:pStyle w:val="FootnoteText"/>
        <w:rPr>
          <w:highlight w:val="yellow"/>
        </w:rPr>
      </w:pPr>
      <w:r w:rsidRPr="00A21714">
        <w:rPr>
          <w:rStyle w:val="FootnoteReference"/>
          <w:highlight w:val="yellow"/>
        </w:rPr>
        <w:footnoteRef/>
      </w:r>
      <w:r>
        <w:rPr>
          <w:highlight w:val="yellow"/>
        </w:rPr>
        <w:t xml:space="preserve"> Az 1305/2013/EU rendelet 53,1. cikke.</w:t>
      </w:r>
    </w:p>
  </w:footnote>
  <w:footnote w:id="13">
    <w:p w:rsidR="00170A1A" w:rsidRPr="00A21714" w:rsidRDefault="00170A1A" w:rsidP="00923616">
      <w:pPr>
        <w:pStyle w:val="FootnoteText"/>
        <w:rPr>
          <w:highlight w:val="yellow"/>
        </w:rPr>
      </w:pPr>
      <w:r w:rsidRPr="00A21714">
        <w:rPr>
          <w:rStyle w:val="FootnoteReference"/>
          <w:highlight w:val="yellow"/>
        </w:rPr>
        <w:footnoteRef/>
      </w:r>
      <w:r>
        <w:rPr>
          <w:highlight w:val="yellow"/>
        </w:rPr>
        <w:t xml:space="preserve"> Az 1305/2013/EU rendelet 54,1. cikke.</w:t>
      </w:r>
    </w:p>
  </w:footnote>
  <w:footnote w:id="14">
    <w:p w:rsidR="00170A1A" w:rsidRPr="00A21714" w:rsidRDefault="00170A1A" w:rsidP="00923616">
      <w:pPr>
        <w:pStyle w:val="FootnoteText"/>
        <w:rPr>
          <w:highlight w:val="yellow"/>
        </w:rPr>
      </w:pPr>
      <w:r w:rsidRPr="00A21714">
        <w:rPr>
          <w:rStyle w:val="FootnoteReference"/>
          <w:highlight w:val="yellow"/>
        </w:rPr>
        <w:footnoteRef/>
      </w:r>
      <w:r>
        <w:rPr>
          <w:highlight w:val="yellow"/>
        </w:rPr>
        <w:t xml:space="preserve"> Az 1305/2013/EU rendelet 53., 55., 56. és 57. cikke.</w:t>
      </w:r>
    </w:p>
  </w:footnote>
  <w:footnote w:id="15">
    <w:p w:rsidR="00170A1A" w:rsidRPr="00923616" w:rsidRDefault="00170A1A" w:rsidP="00923616">
      <w:pPr>
        <w:pStyle w:val="FootnoteText"/>
      </w:pPr>
      <w:r w:rsidRPr="00A21714">
        <w:rPr>
          <w:rStyle w:val="FootnoteReference"/>
          <w:highlight w:val="yellow"/>
        </w:rPr>
        <w:footnoteRef/>
      </w:r>
      <w:r>
        <w:rPr>
          <w:highlight w:val="yellow"/>
        </w:rPr>
        <w:t xml:space="preserve"> Wassermann, Stanley and Faust, Katherine, </w:t>
      </w:r>
      <w:r>
        <w:rPr>
          <w:i/>
          <w:highlight w:val="yellow"/>
        </w:rPr>
        <w:t xml:space="preserve">Social Network Analysis. Methods and applications (Közösségi hálózatok elemzése. Módszertan és alkalmazási lehetőségek), </w:t>
      </w:r>
      <w:r>
        <w:rPr>
          <w:highlight w:val="yellow"/>
        </w:rPr>
        <w:t>Cambridge University Press, 1994</w:t>
      </w:r>
    </w:p>
  </w:footnote>
  <w:footnote w:id="16">
    <w:p w:rsidR="00170A1A" w:rsidRPr="00A76855" w:rsidRDefault="00170A1A" w:rsidP="003A118B">
      <w:pPr>
        <w:pStyle w:val="FootnoteText"/>
      </w:pPr>
      <w:r>
        <w:rPr>
          <w:rStyle w:val="FootnoteReference"/>
        </w:rPr>
        <w:footnoteRef/>
      </w:r>
      <w:r>
        <w:t xml:space="preserve"> </w:t>
      </w:r>
      <w:r>
        <w:rPr>
          <w:highlight w:val="yellow"/>
        </w:rPr>
        <w:t>Az 1305/2013/EU rendelet 54. cikkének (3) bekezdése.</w:t>
      </w:r>
    </w:p>
  </w:footnote>
  <w:footnote w:id="17">
    <w:p w:rsidR="00170A1A" w:rsidRPr="00A21714" w:rsidRDefault="00170A1A">
      <w:pPr>
        <w:pStyle w:val="FootnoteText"/>
        <w:rPr>
          <w:highlight w:val="yellow"/>
        </w:rPr>
      </w:pPr>
      <w:r>
        <w:rPr>
          <w:rStyle w:val="FootnoteReference"/>
        </w:rPr>
        <w:footnoteRef/>
      </w:r>
      <w:r>
        <w:t xml:space="preserve"> </w:t>
      </w:r>
      <w:r>
        <w:rPr>
          <w:highlight w:val="yellow"/>
        </w:rPr>
        <w:t xml:space="preserve">Az 1303/2013/EU rendeletének 5. cikke </w:t>
      </w:r>
    </w:p>
  </w:footnote>
  <w:footnote w:id="18">
    <w:p w:rsidR="00170A1A" w:rsidRPr="00A21714" w:rsidRDefault="00170A1A">
      <w:pPr>
        <w:pStyle w:val="FootnoteText"/>
        <w:rPr>
          <w:highlight w:val="yellow"/>
        </w:rPr>
      </w:pPr>
      <w:r w:rsidRPr="00A21714">
        <w:rPr>
          <w:rStyle w:val="FootnoteReference"/>
          <w:highlight w:val="yellow"/>
        </w:rPr>
        <w:footnoteRef/>
      </w:r>
      <w:r>
        <w:rPr>
          <w:highlight w:val="yellow"/>
        </w:rPr>
        <w:t xml:space="preserve"> Antonella Zona (DG AGRI) előadása: „The shape of NRNs – now and in future” (Az NVH-k jelene és jövője) című előadás a vidékfejlesztési értékelési támogató szolgálat „National Rural Networks: How to show their benefits” (Nemzeti vidékfejlesztési hálózatok: Az előnyök bemutatása) című, bevált gyakorlatokról szóló munkaértekezletén, Róma, 2014. április 10–11. </w:t>
      </w:r>
      <w:hyperlink r:id="rId7" w:history="1">
        <w:r>
          <w:rPr>
            <w:rStyle w:val="Hyperlink"/>
            <w:highlight w:val="yellow"/>
          </w:rPr>
          <w:t>https://enrd.ec.europa.eu/sites/enrd/files/assets/pdf/evaluation/national-rural-networks/GPW_10_NRN_shape.pdf</w:t>
        </w:r>
      </w:hyperlink>
    </w:p>
  </w:footnote>
  <w:footnote w:id="19">
    <w:p w:rsidR="00170A1A" w:rsidRPr="00A21714" w:rsidRDefault="00170A1A">
      <w:pPr>
        <w:pStyle w:val="FootnoteText"/>
        <w:rPr>
          <w:highlight w:val="yellow"/>
        </w:rPr>
      </w:pPr>
      <w:r w:rsidRPr="00A21714">
        <w:rPr>
          <w:rStyle w:val="FootnoteReference"/>
          <w:highlight w:val="yellow"/>
        </w:rPr>
        <w:footnoteRef/>
      </w:r>
      <w:r>
        <w:rPr>
          <w:highlight w:val="yellow"/>
        </w:rPr>
        <w:t xml:space="preserve"> Az érdekelt felek elemzéséhez különféle nemzetközi szervezetek nyújtanak támogatást, például a WHO </w:t>
      </w:r>
      <w:r>
        <w:t>(</w:t>
      </w:r>
      <w:hyperlink r:id="rId8" w:history="1">
        <w:r>
          <w:rPr>
            <w:rStyle w:val="Hyperlink"/>
            <w:highlight w:val="yellow"/>
          </w:rPr>
          <w:t>http://www.who.int/workforcealliance/knowledge/toolkit/33.pdf</w:t>
        </w:r>
      </w:hyperlink>
      <w:r>
        <w:rPr>
          <w:highlight w:val="yellow"/>
        </w:rPr>
        <w:t>), a Világbank (</w:t>
      </w:r>
      <w:hyperlink r:id="rId9" w:history="1">
        <w:r>
          <w:rPr>
            <w:rStyle w:val="Hyperlink"/>
            <w:highlight w:val="yellow"/>
          </w:rPr>
          <w:t>http://www1.worldbank.org/publicsector/anticorrupt/PoliticalEconomy/stakeholderanalysis.htm</w:t>
        </w:r>
      </w:hyperlink>
      <w:r>
        <w:rPr>
          <w:highlight w:val="yellow"/>
        </w:rPr>
        <w:t xml:space="preserve">) vagy a FAO ( </w:t>
      </w:r>
      <w:hyperlink r:id="rId10" w:history="1">
        <w:r>
          <w:rPr>
            <w:rStyle w:val="Hyperlink"/>
            <w:highlight w:val="yellow"/>
          </w:rPr>
          <w:t>http://www.fao.org/docrep/008/y5702e/y5702e00.htm</w:t>
        </w:r>
      </w:hyperlink>
      <w:r>
        <w:t>)</w:t>
      </w:r>
    </w:p>
  </w:footnote>
  <w:footnote w:id="20">
    <w:p w:rsidR="00170A1A" w:rsidRPr="00A21714" w:rsidRDefault="00170A1A">
      <w:pPr>
        <w:pStyle w:val="FootnoteText"/>
        <w:rPr>
          <w:highlight w:val="yellow"/>
        </w:rPr>
      </w:pPr>
      <w:r w:rsidRPr="00A21714">
        <w:rPr>
          <w:rStyle w:val="FootnoteReference"/>
          <w:highlight w:val="yellow"/>
        </w:rPr>
        <w:footnoteRef/>
      </w:r>
      <w:r>
        <w:rPr>
          <w:highlight w:val="yellow"/>
        </w:rPr>
        <w:t xml:space="preserve"> </w:t>
      </w:r>
      <w:hyperlink r:id="rId11" w:history="1">
        <w:r>
          <w:rPr>
            <w:rStyle w:val="Hyperlink"/>
            <w:highlight w:val="yellow"/>
          </w:rPr>
          <w:t>http://enrd.ec.europa.eu/enrd-static/networks-and-networking/nrn-toolkit/principles-and-practice-of-networking/network-definitions-and-diversity/en/rural-networks-and-networking_en.html</w:t>
        </w:r>
      </w:hyperlink>
    </w:p>
  </w:footnote>
  <w:footnote w:id="21">
    <w:p w:rsidR="00170A1A" w:rsidRPr="00A21714" w:rsidRDefault="00170A1A" w:rsidP="00923616">
      <w:pPr>
        <w:pStyle w:val="FootnoteText"/>
        <w:rPr>
          <w:highlight w:val="yellow"/>
        </w:rPr>
      </w:pPr>
      <w:r w:rsidRPr="00A21714">
        <w:rPr>
          <w:rStyle w:val="FootnoteReference"/>
          <w:highlight w:val="yellow"/>
        </w:rPr>
        <w:footnoteRef/>
      </w:r>
      <w:r>
        <w:rPr>
          <w:highlight w:val="yellow"/>
        </w:rPr>
        <w:t xml:space="preserve"> Az 1305/2013/EU rendelet 68. cikke.</w:t>
      </w:r>
    </w:p>
  </w:footnote>
  <w:footnote w:id="22">
    <w:p w:rsidR="00170A1A" w:rsidRPr="00A21714" w:rsidRDefault="00170A1A" w:rsidP="00923616">
      <w:pPr>
        <w:pStyle w:val="FootnoteText"/>
        <w:rPr>
          <w:rFonts w:cs="Arial"/>
          <w:szCs w:val="16"/>
          <w:highlight w:val="yellow"/>
        </w:rPr>
      </w:pPr>
      <w:r w:rsidRPr="00A21714">
        <w:rPr>
          <w:rStyle w:val="FootnoteReference"/>
          <w:highlight w:val="yellow"/>
        </w:rPr>
        <w:footnoteRef/>
      </w:r>
      <w:r>
        <w:rPr>
          <w:szCs w:val="16"/>
          <w:highlight w:val="yellow"/>
        </w:rPr>
        <w:t xml:space="preserve"> Az 1305/2013/EU rendelet 54. cikkének (2) bekezdése.</w:t>
      </w:r>
    </w:p>
  </w:footnote>
  <w:footnote w:id="23">
    <w:p w:rsidR="00170A1A" w:rsidRPr="00AD2CDF" w:rsidRDefault="00170A1A" w:rsidP="0088698A">
      <w:pPr>
        <w:pStyle w:val="FootnoteText"/>
      </w:pPr>
      <w:r w:rsidRPr="00A21714">
        <w:rPr>
          <w:rStyle w:val="FootnoteReference"/>
          <w:highlight w:val="yellow"/>
        </w:rPr>
        <w:footnoteRef/>
      </w:r>
      <w:r>
        <w:rPr>
          <w:highlight w:val="yellow"/>
        </w:rPr>
        <w:t xml:space="preserve"> Az NVH-k által biztosított hozzáadott érték általában a társadalmi tőke fejlesztéséből, a területi és egyéni identitás megteremtéséhez és fejlesztéséhez való hozzájárulásból, az irányítás javulásából, valamint az információ- és tudásátadás ösztönzéséből adódik.</w:t>
      </w:r>
    </w:p>
  </w:footnote>
  <w:footnote w:id="24">
    <w:p w:rsidR="00170A1A" w:rsidRPr="00A21714" w:rsidRDefault="00170A1A" w:rsidP="00FF5B4F">
      <w:pPr>
        <w:pStyle w:val="FootnoteText"/>
        <w:rPr>
          <w:highlight w:val="yellow"/>
        </w:rPr>
      </w:pPr>
      <w:r>
        <w:rPr>
          <w:rStyle w:val="FootnoteReference"/>
        </w:rPr>
        <w:footnoteRef/>
      </w:r>
      <w:r>
        <w:t xml:space="preserve"> </w:t>
      </w:r>
      <w:hyperlink r:id="rId12" w:history="1">
        <w:r>
          <w:rPr>
            <w:highlight w:val="yellow"/>
          </w:rPr>
          <w:t>NVH-önértékelési eszköztár, EVH. http://enrd.ec.europa.eu/enrd-static/networks-and-networking/nrn-self-assessment-tool-kit/en/index_en.html</w:t>
        </w:r>
      </w:hyperlink>
      <w:r>
        <w:rPr>
          <w:highlight w:val="yellow"/>
        </w:rPr>
        <w:t>NVH-önértékelési eszköztár, EVH. http://enrd.ec.europa.eu/enrd-static/networks-and-networking/nrn-self-assessment-tool-kit/en/index_en.html</w:t>
      </w:r>
    </w:p>
  </w:footnote>
  <w:footnote w:id="25">
    <w:p w:rsidR="00170A1A" w:rsidRPr="00F7430B" w:rsidRDefault="00170A1A" w:rsidP="003A1D3C">
      <w:pPr>
        <w:pStyle w:val="FootnoteText"/>
      </w:pPr>
      <w:r w:rsidRPr="00A21714">
        <w:rPr>
          <w:rStyle w:val="FootnoteReference"/>
          <w:highlight w:val="yellow"/>
        </w:rPr>
        <w:footnoteRef/>
      </w:r>
      <w:r>
        <w:rPr>
          <w:highlight w:val="yellow"/>
        </w:rPr>
        <w:t xml:space="preserve"> </w:t>
      </w:r>
      <w:hyperlink r:id="rId13" w:history="1">
        <w:r>
          <w:rPr>
            <w:highlight w:val="yellow"/>
          </w:rPr>
          <w:t>https://enrd.ec.europa.eu/en/networking/network-self-assessment</w:t>
        </w:r>
      </w:hyperlink>
      <w:r>
        <w:t xml:space="preserve"> </w:t>
      </w:r>
    </w:p>
  </w:footnote>
  <w:footnote w:id="26">
    <w:p w:rsidR="00170A1A" w:rsidRPr="00A21714" w:rsidRDefault="00170A1A">
      <w:pPr>
        <w:pStyle w:val="FootnoteText"/>
        <w:rPr>
          <w:highlight w:val="yellow"/>
        </w:rPr>
      </w:pPr>
      <w:r>
        <w:rPr>
          <w:rStyle w:val="FootnoteReference"/>
        </w:rPr>
        <w:footnoteRef/>
      </w:r>
      <w:r>
        <w:t xml:space="preserve"> </w:t>
      </w:r>
      <w:r>
        <w:rPr>
          <w:highlight w:val="yellow"/>
        </w:rPr>
        <w:t>Az 1303/2013/EU rendelet 68. cikke és a Bizottság 808/2014/EU végrehajtási rendelete I. mellékletének 9. pontja.</w:t>
      </w:r>
    </w:p>
  </w:footnote>
  <w:footnote w:id="27">
    <w:p w:rsidR="00170A1A" w:rsidRPr="00A21714" w:rsidRDefault="00170A1A" w:rsidP="00FF5B4F">
      <w:pPr>
        <w:pStyle w:val="FootnoteText"/>
        <w:rPr>
          <w:highlight w:val="yellow"/>
        </w:rPr>
      </w:pPr>
      <w:r w:rsidRPr="00A21714">
        <w:rPr>
          <w:rStyle w:val="FootnoteReference"/>
          <w:highlight w:val="yellow"/>
        </w:rPr>
        <w:footnoteRef/>
      </w:r>
      <w:r>
        <w:rPr>
          <w:highlight w:val="yellow"/>
        </w:rPr>
        <w:t xml:space="preserve"> </w:t>
      </w:r>
      <w:r>
        <w:rPr>
          <w:szCs w:val="16"/>
          <w:highlight w:val="yellow"/>
        </w:rPr>
        <w:t>A Bizottság 808/2014/EU végrehajtási rendelete VII. mellékletének 2. pontja.</w:t>
      </w:r>
    </w:p>
  </w:footnote>
  <w:footnote w:id="28">
    <w:p w:rsidR="00170A1A" w:rsidRPr="00A21714" w:rsidRDefault="00170A1A" w:rsidP="00FF5B4F">
      <w:pPr>
        <w:pStyle w:val="FootnoteText"/>
        <w:rPr>
          <w:highlight w:val="yellow"/>
        </w:rPr>
      </w:pPr>
      <w:r w:rsidRPr="00A21714">
        <w:rPr>
          <w:rStyle w:val="FootnoteReference"/>
          <w:highlight w:val="yellow"/>
          <w:lang w:val="en-GB"/>
        </w:rPr>
        <w:footnoteRef/>
      </w:r>
      <w:r>
        <w:rPr>
          <w:highlight w:val="yellow"/>
        </w:rPr>
        <w:t xml:space="preserve"> Az 1303/2013/EU rendelet 50. cikke és a Bizottság 808/2014/EU végrehajtási rendelete VII. mellékletének 7. pontja.</w:t>
      </w:r>
    </w:p>
  </w:footnote>
  <w:footnote w:id="29">
    <w:p w:rsidR="00170A1A" w:rsidRPr="00A21714" w:rsidRDefault="00170A1A" w:rsidP="00FF5B4F">
      <w:pPr>
        <w:pStyle w:val="FootnoteText"/>
        <w:rPr>
          <w:highlight w:val="yellow"/>
        </w:rPr>
      </w:pPr>
      <w:r w:rsidRPr="00A21714">
        <w:rPr>
          <w:rStyle w:val="FootnoteReference"/>
          <w:highlight w:val="yellow"/>
          <w:lang w:val="en-GB"/>
        </w:rPr>
        <w:footnoteRef/>
      </w:r>
      <w:r>
        <w:rPr>
          <w:highlight w:val="yellow"/>
        </w:rPr>
        <w:t xml:space="preserve"> </w:t>
      </w:r>
      <w:r>
        <w:rPr>
          <w:szCs w:val="16"/>
          <w:highlight w:val="yellow"/>
        </w:rPr>
        <w:t>A Bizottság 808/2014/EU végrehajtási rendelete V. mellékletének 7. pontja.</w:t>
      </w:r>
    </w:p>
  </w:footnote>
  <w:footnote w:id="30">
    <w:p w:rsidR="00170A1A" w:rsidRPr="009D14C7" w:rsidRDefault="00170A1A" w:rsidP="00FF5B4F">
      <w:pPr>
        <w:pStyle w:val="FootnoteText"/>
      </w:pPr>
      <w:r w:rsidRPr="00A21714">
        <w:rPr>
          <w:rStyle w:val="FootnoteReference"/>
          <w:highlight w:val="yellow"/>
          <w:lang w:val="en-GB"/>
        </w:rPr>
        <w:footnoteRef/>
      </w:r>
      <w:r>
        <w:rPr>
          <w:highlight w:val="yellow"/>
        </w:rPr>
        <w:t xml:space="preserve"> Az 1303/2013/EU rendelet 52. cikke.</w:t>
      </w:r>
    </w:p>
  </w:footnote>
  <w:footnote w:id="31">
    <w:p w:rsidR="00170A1A" w:rsidRPr="00277D95" w:rsidRDefault="00170A1A">
      <w:pPr>
        <w:pStyle w:val="FootnoteText"/>
        <w:rPr>
          <w:highlight w:val="yellow"/>
        </w:rPr>
      </w:pPr>
      <w:r>
        <w:rPr>
          <w:rStyle w:val="FootnoteReference"/>
        </w:rPr>
        <w:footnoteRef/>
      </w:r>
      <w:r>
        <w:t xml:space="preserve"> </w:t>
      </w:r>
      <w:r>
        <w:rPr>
          <w:highlight w:val="yellow"/>
        </w:rPr>
        <w:t>Az 1303/2013/EU rendelet 52. cikkének (2) bekezdése.</w:t>
      </w:r>
    </w:p>
  </w:footnote>
  <w:footnote w:id="32">
    <w:p w:rsidR="00170A1A" w:rsidRPr="00277D95" w:rsidRDefault="00170A1A" w:rsidP="003F5115">
      <w:pPr>
        <w:pStyle w:val="FootnoteText"/>
        <w:rPr>
          <w:highlight w:val="yellow"/>
        </w:rPr>
      </w:pPr>
      <w:r w:rsidRPr="00277D95">
        <w:rPr>
          <w:rStyle w:val="FootnoteReference"/>
          <w:highlight w:val="yellow"/>
        </w:rPr>
        <w:footnoteRef/>
      </w:r>
      <w:r>
        <w:rPr>
          <w:highlight w:val="yellow"/>
        </w:rPr>
        <w:t xml:space="preserve"> </w:t>
      </w:r>
      <w:r>
        <w:rPr>
          <w:szCs w:val="16"/>
          <w:highlight w:val="yellow"/>
        </w:rPr>
        <w:t>Az 1305/2013/EU rendelet 78. cikke.</w:t>
      </w:r>
    </w:p>
  </w:footnote>
  <w:footnote w:id="33">
    <w:p w:rsidR="00170A1A" w:rsidRPr="0019578F" w:rsidRDefault="00170A1A" w:rsidP="003F5115">
      <w:pPr>
        <w:pStyle w:val="FootnoteText"/>
      </w:pPr>
      <w:r w:rsidRPr="00277D95">
        <w:rPr>
          <w:rStyle w:val="FootnoteReference"/>
          <w:highlight w:val="yellow"/>
        </w:rPr>
        <w:footnoteRef/>
      </w:r>
      <w:r>
        <w:rPr>
          <w:highlight w:val="yellow"/>
        </w:rPr>
        <w:t xml:space="preserve"> </w:t>
      </w:r>
      <w:r>
        <w:rPr>
          <w:szCs w:val="16"/>
          <w:highlight w:val="yellow"/>
        </w:rPr>
        <w:t>A Bizottság 808/2014/EU végrehajtási rendeletének V. melléklete.</w:t>
      </w:r>
    </w:p>
  </w:footnote>
  <w:footnote w:id="34">
    <w:p w:rsidR="00170A1A" w:rsidRPr="00277D95" w:rsidRDefault="00170A1A" w:rsidP="00403F21">
      <w:pPr>
        <w:pStyle w:val="FootnoteText"/>
        <w:rPr>
          <w:szCs w:val="16"/>
          <w:highlight w:val="yellow"/>
        </w:rPr>
      </w:pPr>
      <w:r w:rsidRPr="00C164BB">
        <w:rPr>
          <w:rStyle w:val="FootnoteReference"/>
          <w:szCs w:val="16"/>
        </w:rPr>
        <w:footnoteRef/>
      </w:r>
      <w:r>
        <w:t xml:space="preserve"> </w:t>
      </w:r>
      <w:r>
        <w:rPr>
          <w:szCs w:val="16"/>
          <w:highlight w:val="yellow"/>
        </w:rPr>
        <w:t>Az 1305/2013/EU rendelet 54.2. cikke.</w:t>
      </w:r>
    </w:p>
  </w:footnote>
  <w:footnote w:id="35">
    <w:p w:rsidR="00170A1A" w:rsidRPr="008D19D5" w:rsidRDefault="00170A1A" w:rsidP="00403F21">
      <w:pPr>
        <w:pStyle w:val="FootnoteText"/>
      </w:pPr>
      <w:r w:rsidRPr="00277D95">
        <w:rPr>
          <w:rStyle w:val="FootnoteReference"/>
          <w:highlight w:val="yellow"/>
        </w:rPr>
        <w:footnoteRef/>
      </w:r>
      <w:r>
        <w:rPr>
          <w:highlight w:val="yellow"/>
        </w:rPr>
        <w:t xml:space="preserve"> Az NVH programspecifikus célkitűzéseit javasolt az Európai Bizottság szakpolitikai célkitűzések megfogalmazására vonatkozó szabályai szerint megszövegezni: </w:t>
      </w:r>
      <w:hyperlink r:id="rId14" w:history="1">
        <w:r>
          <w:rPr>
            <w:rStyle w:val="Hyperlink"/>
            <w:highlight w:val="yellow"/>
          </w:rPr>
          <w:t>http://ec.europa.eu/smart-regulation/guidelines/tool_13_en.htm</w:t>
        </w:r>
      </w:hyperlink>
    </w:p>
  </w:footnote>
  <w:footnote w:id="36">
    <w:p w:rsidR="00170A1A" w:rsidRPr="00F02191" w:rsidRDefault="00170A1A" w:rsidP="00403F21">
      <w:pPr>
        <w:pStyle w:val="FootnoteText"/>
      </w:pPr>
      <w:r>
        <w:rPr>
          <w:rStyle w:val="FootnoteReference"/>
        </w:rPr>
        <w:footnoteRef/>
      </w:r>
      <w:r>
        <w:t xml:space="preserve"> </w:t>
      </w:r>
      <w:r>
        <w:rPr>
          <w:highlight w:val="yellow"/>
        </w:rPr>
        <w:t>Az 1305/2013/EU rendelet 54. cikkének (3) bekezdése.</w:t>
      </w:r>
      <w:r>
        <w:t xml:space="preserve"> </w:t>
      </w:r>
    </w:p>
  </w:footnote>
  <w:footnote w:id="37">
    <w:p w:rsidR="00170A1A" w:rsidRPr="00277D95" w:rsidRDefault="00170A1A" w:rsidP="00A27369">
      <w:pPr>
        <w:pStyle w:val="FootnoteText"/>
        <w:rPr>
          <w:highlight w:val="yellow"/>
        </w:rPr>
      </w:pPr>
      <w:r>
        <w:rPr>
          <w:rStyle w:val="FootnoteReference"/>
        </w:rPr>
        <w:footnoteRef/>
      </w:r>
      <w:r>
        <w:rPr>
          <w:shd w:val="clear" w:color="auto" w:fill="FFFFFF" w:themeFill="background1"/>
        </w:rPr>
        <w:t xml:space="preserve"> </w:t>
      </w:r>
      <w:r>
        <w:rPr>
          <w:highlight w:val="yellow"/>
        </w:rPr>
        <w:t>Az 1303/2013/EU rendelet 54. cikkének (1) bekezdése; az 1305/2013/EU rendelet 68. cikkének a) pontja</w:t>
      </w:r>
    </w:p>
  </w:footnote>
  <w:footnote w:id="38">
    <w:p w:rsidR="00170A1A" w:rsidRPr="00277D95" w:rsidRDefault="00170A1A" w:rsidP="00A27369">
      <w:pPr>
        <w:pStyle w:val="FootnoteText"/>
        <w:rPr>
          <w:highlight w:val="yellow"/>
        </w:rPr>
      </w:pPr>
      <w:r w:rsidRPr="00277D95">
        <w:rPr>
          <w:rStyle w:val="FootnoteReference"/>
          <w:rFonts w:cs="Arial"/>
          <w:szCs w:val="16"/>
          <w:highlight w:val="yellow"/>
        </w:rPr>
        <w:footnoteRef/>
      </w:r>
      <w:r>
        <w:rPr>
          <w:szCs w:val="16"/>
          <w:highlight w:val="yellow"/>
        </w:rPr>
        <w:t xml:space="preserve"> </w:t>
      </w:r>
      <w:r>
        <w:rPr>
          <w:highlight w:val="yellow"/>
        </w:rPr>
        <w:t>Az 1305/2013/EU rendelet 54. cikkének (2) és (3) bekezdése.</w:t>
      </w:r>
    </w:p>
  </w:footnote>
  <w:footnote w:id="39">
    <w:p w:rsidR="00170A1A" w:rsidRPr="00277D95" w:rsidRDefault="00170A1A" w:rsidP="00A27369">
      <w:pPr>
        <w:pStyle w:val="FootnoteText"/>
        <w:rPr>
          <w:rFonts w:cs="Arial"/>
          <w:szCs w:val="16"/>
          <w:highlight w:val="yellow"/>
        </w:rPr>
      </w:pPr>
      <w:r w:rsidRPr="00277D95">
        <w:rPr>
          <w:rStyle w:val="FootnoteReference"/>
          <w:rFonts w:cs="Arial"/>
          <w:szCs w:val="16"/>
          <w:highlight w:val="yellow"/>
        </w:rPr>
        <w:footnoteRef/>
      </w:r>
      <w:r>
        <w:rPr>
          <w:szCs w:val="16"/>
          <w:highlight w:val="yellow"/>
        </w:rPr>
        <w:t xml:space="preserve"> Munkadokumentum: Common evaluation questions for the RDP 2014_2020 (A 2014–2020-as időszakban megvalósítandó VFP értékelésének közös kérdései); a Bizottság 808/2014/EU végrehajtási rendeletének V. melléklete</w:t>
      </w:r>
    </w:p>
  </w:footnote>
  <w:footnote w:id="40">
    <w:p w:rsidR="00170A1A" w:rsidRPr="00277D95" w:rsidRDefault="00170A1A" w:rsidP="00A27369">
      <w:pPr>
        <w:spacing w:after="0" w:line="240" w:lineRule="auto"/>
        <w:ind w:right="215"/>
        <w:rPr>
          <w:rStyle w:val="FootnoteTextChar1"/>
          <w:rFonts w:eastAsiaTheme="minorHAnsi"/>
          <w:highlight w:val="yellow"/>
        </w:rPr>
      </w:pPr>
      <w:r w:rsidRPr="00277D95">
        <w:rPr>
          <w:rStyle w:val="FootnoteReference"/>
          <w:highlight w:val="yellow"/>
        </w:rPr>
        <w:footnoteRef/>
      </w:r>
      <w:r>
        <w:rPr>
          <w:color w:val="000000"/>
          <w:sz w:val="16"/>
          <w:szCs w:val="16"/>
          <w:highlight w:val="yellow"/>
        </w:rPr>
        <w:t xml:space="preserve"> </w:t>
      </w:r>
      <w:r>
        <w:rPr>
          <w:rStyle w:val="FootnoteTextChar1"/>
          <w:rFonts w:eastAsiaTheme="minorHAnsi"/>
          <w:highlight w:val="yellow"/>
        </w:rPr>
        <w:t>Az 1305/2013/EU rendelet 54. cikkének (2) bekezdése</w:t>
      </w:r>
    </w:p>
  </w:footnote>
  <w:footnote w:id="41">
    <w:p w:rsidR="00170A1A" w:rsidRPr="00277D95" w:rsidRDefault="00170A1A" w:rsidP="00A27369">
      <w:pPr>
        <w:pStyle w:val="FootnoteText"/>
        <w:rPr>
          <w:rFonts w:cs="Arial"/>
          <w:szCs w:val="16"/>
          <w:highlight w:val="yellow"/>
        </w:rPr>
      </w:pPr>
      <w:r w:rsidRPr="00277D95">
        <w:rPr>
          <w:rStyle w:val="FootnoteReference"/>
          <w:rFonts w:cs="Arial"/>
          <w:szCs w:val="16"/>
          <w:highlight w:val="yellow"/>
        </w:rPr>
        <w:footnoteRef/>
      </w:r>
      <w:r>
        <w:rPr>
          <w:szCs w:val="16"/>
          <w:highlight w:val="yellow"/>
        </w:rPr>
        <w:t xml:space="preserve"> A Bizottság 808/2014/EU végrehajtási rendeletének IV. melléklete, Kimeneti mutatók: O24, O25 és O26; </w:t>
      </w:r>
    </w:p>
  </w:footnote>
  <w:footnote w:id="42">
    <w:p w:rsidR="00170A1A" w:rsidRPr="00277D95" w:rsidRDefault="00170A1A">
      <w:pPr>
        <w:pStyle w:val="FootnoteText"/>
        <w:rPr>
          <w:highlight w:val="yellow"/>
        </w:rPr>
      </w:pPr>
      <w:r w:rsidRPr="00277D95">
        <w:rPr>
          <w:rStyle w:val="FootnoteReference"/>
          <w:highlight w:val="yellow"/>
        </w:rPr>
        <w:footnoteRef/>
      </w:r>
      <w:r>
        <w:rPr>
          <w:highlight w:val="yellow"/>
        </w:rPr>
        <w:t xml:space="preserve"> </w:t>
      </w:r>
      <w:hyperlink r:id="rId15" w:history="1">
        <w:r>
          <w:rPr>
            <w:rStyle w:val="Hyperlink"/>
            <w:highlight w:val="yellow"/>
          </w:rPr>
          <w:t>https://enrd.ec.europa.eu/en/evaluation-helpdesks-publications</w:t>
        </w:r>
      </w:hyperlink>
    </w:p>
  </w:footnote>
  <w:footnote w:id="43">
    <w:p w:rsidR="00170A1A" w:rsidRPr="00FD7350" w:rsidRDefault="00170A1A" w:rsidP="00A27369">
      <w:pPr>
        <w:pStyle w:val="FootnoteText"/>
      </w:pPr>
      <w:r w:rsidRPr="00277D95">
        <w:rPr>
          <w:rStyle w:val="FootnoteReference"/>
          <w:highlight w:val="yellow"/>
        </w:rPr>
        <w:footnoteRef/>
      </w:r>
      <w:r>
        <w:rPr>
          <w:highlight w:val="yellow"/>
        </w:rPr>
        <w:t xml:space="preserve"> Az 1305/2013/EU rendelet 54. cikkének (2) bekezdése</w:t>
      </w:r>
    </w:p>
  </w:footnote>
  <w:footnote w:id="44">
    <w:p w:rsidR="00170A1A" w:rsidRPr="00277D95" w:rsidRDefault="00170A1A" w:rsidP="00CA57FC">
      <w:pPr>
        <w:pStyle w:val="FootnoteText"/>
        <w:rPr>
          <w:rFonts w:cs="Arial"/>
          <w:szCs w:val="16"/>
          <w:highlight w:val="yellow"/>
        </w:rPr>
      </w:pPr>
      <w:r w:rsidRPr="00962F32">
        <w:rPr>
          <w:rStyle w:val="FootnoteReference"/>
          <w:rFonts w:cs="Arial"/>
          <w:szCs w:val="16"/>
        </w:rPr>
        <w:footnoteRef/>
      </w:r>
      <w:r>
        <w:t xml:space="preserve"> </w:t>
      </w:r>
      <w:r>
        <w:rPr>
          <w:szCs w:val="16"/>
          <w:highlight w:val="yellow"/>
        </w:rPr>
        <w:t>21. közös értékelési kérdés; a Bizottság 808/2014/EU végrehajtási rendeletének V. melléklete.</w:t>
      </w:r>
    </w:p>
  </w:footnote>
  <w:footnote w:id="45">
    <w:p w:rsidR="00170A1A" w:rsidRPr="00277D95" w:rsidRDefault="00170A1A" w:rsidP="00CA57FC">
      <w:pPr>
        <w:pStyle w:val="FootnoteText"/>
        <w:rPr>
          <w:rFonts w:cs="Arial"/>
          <w:szCs w:val="16"/>
          <w:highlight w:val="yellow"/>
        </w:rPr>
      </w:pPr>
      <w:r w:rsidRPr="00277D95">
        <w:rPr>
          <w:rStyle w:val="FootnoteReference"/>
          <w:rFonts w:cs="Arial"/>
          <w:szCs w:val="16"/>
          <w:highlight w:val="yellow"/>
        </w:rPr>
        <w:footnoteRef/>
      </w:r>
      <w:r>
        <w:rPr>
          <w:szCs w:val="16"/>
          <w:highlight w:val="yellow"/>
        </w:rPr>
        <w:t xml:space="preserve"> A tagállamok dolgozzák ki. </w:t>
      </w:r>
    </w:p>
  </w:footnote>
  <w:footnote w:id="46">
    <w:p w:rsidR="00170A1A" w:rsidRPr="00277D95" w:rsidRDefault="00170A1A" w:rsidP="00CA57FC">
      <w:pPr>
        <w:pStyle w:val="FootnoteText"/>
        <w:rPr>
          <w:rFonts w:cs="Arial"/>
          <w:szCs w:val="16"/>
          <w:highlight w:val="yellow"/>
        </w:rPr>
      </w:pPr>
      <w:r w:rsidRPr="00277D95">
        <w:rPr>
          <w:rStyle w:val="FootnoteReference"/>
          <w:rFonts w:cs="Arial"/>
          <w:szCs w:val="16"/>
          <w:highlight w:val="yellow"/>
        </w:rPr>
        <w:footnoteRef/>
      </w:r>
      <w:r>
        <w:rPr>
          <w:szCs w:val="16"/>
          <w:highlight w:val="yellow"/>
        </w:rPr>
        <w:t xml:space="preserve"> O24, O25 és O26 kimeneti mutató; a Bizottság 808/2014/EU végrehajtási rendeletének IV. melléklete.</w:t>
      </w:r>
    </w:p>
  </w:footnote>
  <w:footnote w:id="47">
    <w:p w:rsidR="00170A1A" w:rsidRPr="00CA57FC" w:rsidRDefault="00170A1A" w:rsidP="00CA57FC">
      <w:pPr>
        <w:pStyle w:val="FootnoteText"/>
      </w:pPr>
      <w:r w:rsidRPr="00277D95">
        <w:rPr>
          <w:rStyle w:val="FootnoteReference"/>
          <w:rFonts w:cs="Arial"/>
          <w:szCs w:val="16"/>
          <w:highlight w:val="yellow"/>
        </w:rPr>
        <w:footnoteRef/>
      </w:r>
      <w:r>
        <w:rPr>
          <w:szCs w:val="16"/>
          <w:highlight w:val="yellow"/>
        </w:rPr>
        <w:t xml:space="preserve"> A tagállamok dolgozzák ki.</w:t>
      </w:r>
    </w:p>
  </w:footnote>
  <w:footnote w:id="48">
    <w:p w:rsidR="00170A1A" w:rsidRPr="007134D0" w:rsidRDefault="00170A1A" w:rsidP="007134D0">
      <w:pPr>
        <w:pStyle w:val="FootnoteText"/>
      </w:pPr>
      <w:r>
        <w:rPr>
          <w:rStyle w:val="FootnoteReference"/>
          <w:rFonts w:eastAsiaTheme="minorEastAsia"/>
        </w:rPr>
        <w:footnoteRef/>
      </w:r>
      <w:r>
        <w:t xml:space="preserve"> </w:t>
      </w:r>
      <w:r>
        <w:rPr>
          <w:highlight w:val="yellow"/>
        </w:rPr>
        <w:t>Az 1305/2013/EU rendelet 66. cikke.</w:t>
      </w:r>
    </w:p>
  </w:footnote>
  <w:footnote w:id="49">
    <w:p w:rsidR="00170A1A" w:rsidRPr="00277D95" w:rsidRDefault="00170A1A" w:rsidP="007134D0">
      <w:pPr>
        <w:pStyle w:val="FootnoteText"/>
        <w:rPr>
          <w:highlight w:val="yellow"/>
        </w:rPr>
      </w:pPr>
      <w:r>
        <w:rPr>
          <w:rStyle w:val="FootnoteReference"/>
          <w:rFonts w:eastAsiaTheme="minorEastAsia"/>
        </w:rPr>
        <w:footnoteRef/>
      </w:r>
      <w:r>
        <w:t xml:space="preserve"> </w:t>
      </w:r>
      <w:r>
        <w:rPr>
          <w:highlight w:val="yellow"/>
        </w:rPr>
        <w:t>Az 1305/2013/EU rendelet 66. cikkének (2) bekezdése.</w:t>
      </w:r>
    </w:p>
  </w:footnote>
  <w:footnote w:id="50">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Szlovákia – a HTE feladatait a nemzeti vidékfejlesztési ügynökség, a Mezőgazdasági minisztérium által részben finanszírozott intézet hatáskörébe vonták.</w:t>
      </w:r>
    </w:p>
  </w:footnote>
  <w:footnote w:id="51">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Bulgária – a HTE szerepét az INTERPRED WTC magánvállalat látja el.</w:t>
      </w:r>
    </w:p>
  </w:footnote>
  <w:footnote w:id="52">
    <w:p w:rsidR="00170A1A" w:rsidRPr="00277D95" w:rsidRDefault="00170A1A" w:rsidP="00DE0CC0">
      <w:pPr>
        <w:pStyle w:val="FootnoteText"/>
        <w:rPr>
          <w:highlight w:val="yellow"/>
        </w:rPr>
      </w:pPr>
      <w:r w:rsidRPr="00277D95">
        <w:rPr>
          <w:rStyle w:val="FootnoteReference"/>
          <w:rFonts w:eastAsiaTheme="minorEastAsia"/>
          <w:highlight w:val="yellow"/>
        </w:rPr>
        <w:footnoteRef/>
      </w:r>
      <w:r>
        <w:rPr>
          <w:highlight w:val="yellow"/>
        </w:rPr>
        <w:t xml:space="preserve"> </w:t>
      </w:r>
      <w:hyperlink r:id="rId16" w:history="1">
        <w:r>
          <w:rPr>
            <w:highlight w:val="yellow"/>
          </w:rPr>
          <w:t>A nemzeti vidékfejlesztési hálózatok alapítására és működtetésére vonatkozó iránymutatás</w:t>
        </w:r>
      </w:hyperlink>
      <w:r>
        <w:rPr>
          <w:highlight w:val="yellow"/>
        </w:rPr>
        <w:t xml:space="preserve">, 2014-2020, kidolgozta: az Európai Bizottság (Mezőgazdasági és Vidékfejlesztési Főigazgatóság) az 1305/2013/EU rendelet és adott esetben az 1303/2013/EU rendelet alapján. </w:t>
      </w:r>
    </w:p>
  </w:footnote>
  <w:footnote w:id="53">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Az 1306/2013/EU rendelet 7. cikke.</w:t>
      </w:r>
    </w:p>
  </w:footnote>
  <w:footnote w:id="54">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Az 1305/2013/EU rendelet 73. cikke.</w:t>
      </w:r>
    </w:p>
  </w:footnote>
  <w:footnote w:id="55">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Az 1305/2013/EU rendelet 72. cikke.</w:t>
      </w:r>
    </w:p>
  </w:footnote>
  <w:footnote w:id="56">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Az 1305/2013/EU rendelet 74. cikke</w:t>
      </w:r>
    </w:p>
  </w:footnote>
  <w:footnote w:id="57">
    <w:p w:rsidR="00170A1A" w:rsidRPr="000B6EAA" w:rsidRDefault="00170A1A" w:rsidP="007134D0">
      <w:pPr>
        <w:pStyle w:val="FootnoteText"/>
      </w:pPr>
      <w:r w:rsidRPr="00277D95">
        <w:rPr>
          <w:rStyle w:val="FootnoteReference"/>
          <w:rFonts w:eastAsiaTheme="minorEastAsia"/>
          <w:highlight w:val="yellow"/>
        </w:rPr>
        <w:footnoteRef/>
      </w:r>
      <w:r>
        <w:rPr>
          <w:highlight w:val="yellow"/>
        </w:rPr>
        <w:t xml:space="preserve"> A nemzeti vidékfejlesztési hálózatok alapítására és működtetésére vonatkozó iránymutatás, 2014–2020</w:t>
      </w:r>
    </w:p>
  </w:footnote>
  <w:footnote w:id="58">
    <w:p w:rsidR="00170A1A" w:rsidRPr="00C85637" w:rsidRDefault="00170A1A">
      <w:pPr>
        <w:pStyle w:val="FootnoteText"/>
      </w:pPr>
      <w:r>
        <w:rPr>
          <w:rStyle w:val="FootnoteReference"/>
        </w:rPr>
        <w:footnoteRef/>
      </w:r>
      <w:r>
        <w:t xml:space="preserve"> </w:t>
      </w:r>
      <w:r>
        <w:rPr>
          <w:highlight w:val="yellow"/>
        </w:rPr>
        <w:t>Az 1305/2013/EU rendelet 54. cikke 3. bekezdésének iii. pontja.</w:t>
      </w:r>
    </w:p>
  </w:footnote>
  <w:footnote w:id="59">
    <w:p w:rsidR="00170A1A" w:rsidRPr="00277D95" w:rsidRDefault="00170A1A" w:rsidP="007134D0">
      <w:pPr>
        <w:pStyle w:val="FootnoteText"/>
        <w:rPr>
          <w:highlight w:val="yellow"/>
        </w:rPr>
      </w:pPr>
      <w:r>
        <w:rPr>
          <w:rStyle w:val="FootnoteReference"/>
          <w:rFonts w:eastAsiaTheme="minorEastAsia"/>
        </w:rPr>
        <w:footnoteRef/>
      </w:r>
      <w:r>
        <w:t xml:space="preserve"> </w:t>
      </w:r>
      <w:r>
        <w:rPr>
          <w:highlight w:val="yellow"/>
        </w:rPr>
        <w:t>Az 1303/2013/EU rendelet 54. cikkének (3) bekezdése</w:t>
      </w:r>
    </w:p>
  </w:footnote>
  <w:footnote w:id="60">
    <w:p w:rsidR="00170A1A" w:rsidRPr="00277D95" w:rsidRDefault="00170A1A" w:rsidP="007134D0">
      <w:pPr>
        <w:pStyle w:val="FootnoteText"/>
        <w:rPr>
          <w:highlight w:val="yellow"/>
        </w:rPr>
      </w:pPr>
      <w:r w:rsidRPr="00277D95">
        <w:rPr>
          <w:rStyle w:val="FootnoteReference"/>
          <w:rFonts w:eastAsiaTheme="minorEastAsia"/>
          <w:highlight w:val="yellow"/>
        </w:rPr>
        <w:footnoteRef/>
      </w:r>
      <w:r>
        <w:rPr>
          <w:highlight w:val="yellow"/>
        </w:rPr>
        <w:t xml:space="preserve"> Amennyiben a tagállamon belül nem áll rendelkezésre a megfelelő értékelési kapacitás.</w:t>
      </w:r>
    </w:p>
  </w:footnote>
  <w:footnote w:id="61">
    <w:p w:rsidR="00170A1A" w:rsidRPr="0019578F" w:rsidRDefault="00170A1A" w:rsidP="007134D0">
      <w:pPr>
        <w:pStyle w:val="FootnoteText"/>
      </w:pPr>
      <w:r w:rsidRPr="00277D95">
        <w:rPr>
          <w:rStyle w:val="FootnoteReference"/>
          <w:rFonts w:eastAsiaTheme="minorEastAsia"/>
          <w:highlight w:val="yellow"/>
        </w:rPr>
        <w:footnoteRef/>
      </w:r>
      <w:r>
        <w:rPr>
          <w:highlight w:val="yellow"/>
        </w:rPr>
        <w:t xml:space="preserve"> </w:t>
      </w:r>
      <w:r>
        <w:rPr>
          <w:szCs w:val="16"/>
          <w:highlight w:val="yellow"/>
        </w:rPr>
        <w:t>A Bizottság 808/2014/EU végrehajtási rendeletének I. melléklete</w:t>
      </w:r>
    </w:p>
  </w:footnote>
  <w:footnote w:id="62">
    <w:p w:rsidR="00170A1A" w:rsidRPr="00F7430B" w:rsidRDefault="00170A1A" w:rsidP="007134D0">
      <w:pPr>
        <w:pStyle w:val="FootnoteText"/>
      </w:pPr>
      <w:r>
        <w:rPr>
          <w:rStyle w:val="FootnoteReference"/>
          <w:rFonts w:eastAsiaTheme="minorEastAsia"/>
        </w:rPr>
        <w:footnoteRef/>
      </w:r>
      <w:r>
        <w:t xml:space="preserve"> </w:t>
      </w:r>
      <w:r>
        <w:rPr>
          <w:highlight w:val="yellow"/>
        </w:rPr>
        <w:t xml:space="preserve">Az „Establishing and implementing the evaluation plan of 2014-2020 RDPs” (A 2014–2020-as időszakban megvalósítandó VFP-kre vonatkozó értékelési terv kidolgozása és megvalósítása) című iránymutatás </w:t>
      </w:r>
      <w:hyperlink r:id="rId17" w:history="1">
        <w:r>
          <w:rPr>
            <w:highlight w:val="yellow"/>
          </w:rPr>
          <w:t>http://enrd.ec.europa.eu/en/evaluation-helpdesks-publications</w:t>
        </w:r>
      </w:hyperlink>
    </w:p>
  </w:footnote>
  <w:footnote w:id="63">
    <w:p w:rsidR="00170A1A" w:rsidRPr="00277D95" w:rsidRDefault="00170A1A" w:rsidP="00E36BC6">
      <w:pPr>
        <w:pStyle w:val="FootnoteText"/>
        <w:rPr>
          <w:highlight w:val="yellow"/>
        </w:rPr>
      </w:pPr>
      <w:r>
        <w:rPr>
          <w:rStyle w:val="FootnoteReference"/>
        </w:rPr>
        <w:footnoteRef/>
      </w:r>
      <w:r>
        <w:t xml:space="preserve"> </w:t>
      </w:r>
      <w:r>
        <w:rPr>
          <w:szCs w:val="16"/>
          <w:highlight w:val="yellow"/>
        </w:rPr>
        <w:t>A Bizottság 808/2014/EU végrehajtási rendeletének IV. és V. melléklete</w:t>
      </w:r>
    </w:p>
  </w:footnote>
  <w:footnote w:id="64">
    <w:p w:rsidR="00170A1A" w:rsidRPr="00FF5B4F" w:rsidRDefault="00170A1A" w:rsidP="00E36BC6">
      <w:pPr>
        <w:pStyle w:val="FootnoteText"/>
      </w:pPr>
      <w:r w:rsidRPr="00277D95">
        <w:rPr>
          <w:rStyle w:val="FootnoteReference"/>
          <w:highlight w:val="yellow"/>
        </w:rPr>
        <w:footnoteRef/>
      </w:r>
      <w:r>
        <w:rPr>
          <w:highlight w:val="yellow"/>
        </w:rPr>
        <w:t xml:space="preserve"> Az 1303/2014/EU rendelet 54. cikke.</w:t>
      </w:r>
    </w:p>
  </w:footnote>
  <w:footnote w:id="65">
    <w:p w:rsidR="00170A1A" w:rsidRPr="00F7430B" w:rsidRDefault="00170A1A" w:rsidP="007134D0">
      <w:pPr>
        <w:pStyle w:val="FootnoteText"/>
      </w:pPr>
      <w:r>
        <w:rPr>
          <w:rStyle w:val="FootnoteReference"/>
          <w:rFonts w:eastAsiaTheme="minorEastAsia"/>
        </w:rPr>
        <w:footnoteRef/>
      </w:r>
      <w:r>
        <w:t xml:space="preserve"> </w:t>
      </w:r>
      <w:r>
        <w:rPr>
          <w:highlight w:val="yellow"/>
        </w:rPr>
        <w:t xml:space="preserve">EVH, NVH-útmutató </w:t>
      </w:r>
      <w:hyperlink r:id="rId18" w:history="1">
        <w:r>
          <w:rPr>
            <w:highlight w:val="yellow"/>
          </w:rPr>
          <w:t>http://enrd.ec.europa.eu/enrd-static/app_templates/enrd_assets/pdf/guidebook/nrn_handbook_webversion.pdf</w:t>
        </w:r>
      </w:hyperlink>
      <w:r>
        <w:t xml:space="preserve"> </w:t>
      </w:r>
    </w:p>
  </w:footnote>
  <w:footnote w:id="66">
    <w:p w:rsidR="00170A1A" w:rsidRPr="00277D95" w:rsidRDefault="00170A1A" w:rsidP="00FC0A30">
      <w:pPr>
        <w:pStyle w:val="FootnoteText"/>
        <w:rPr>
          <w:highlight w:val="yellow"/>
        </w:rPr>
      </w:pPr>
      <w:r>
        <w:rPr>
          <w:rStyle w:val="FootnoteReference"/>
          <w:rFonts w:eastAsiaTheme="minorEastAsia"/>
        </w:rPr>
        <w:footnoteRef/>
      </w:r>
      <w:r>
        <w:t xml:space="preserve"> </w:t>
      </w:r>
      <w:r>
        <w:rPr>
          <w:highlight w:val="yellow"/>
        </w:rPr>
        <w:t>EVH, NVH-útmutató (</w:t>
      </w:r>
      <w:hyperlink r:id="rId19" w:history="1">
        <w:r>
          <w:rPr>
            <w:highlight w:val="yellow"/>
          </w:rPr>
          <w:t>http://enrd.ec.europa.eu/enrd-static/app_templates/enrd_assets/pdf/guidebook/nrn_handbook_webversion.pdf</w:t>
        </w:r>
      </w:hyperlink>
      <w:r>
        <w:rPr>
          <w:highlight w:val="yellow"/>
        </w:rPr>
        <w:t>), 87. o.</w:t>
      </w:r>
    </w:p>
  </w:footnote>
  <w:footnote w:id="67">
    <w:p w:rsidR="00170A1A" w:rsidRPr="00277D95" w:rsidRDefault="00170A1A" w:rsidP="009A7C06">
      <w:pPr>
        <w:pStyle w:val="FootnoteText"/>
        <w:rPr>
          <w:highlight w:val="yellow"/>
        </w:rPr>
      </w:pPr>
      <w:r w:rsidRPr="00277D95">
        <w:rPr>
          <w:rStyle w:val="FootnoteReference"/>
          <w:highlight w:val="yellow"/>
        </w:rPr>
        <w:footnoteRef/>
      </w:r>
      <w:r>
        <w:rPr>
          <w:highlight w:val="yellow"/>
        </w:rPr>
        <w:t xml:space="preserve"> Az 1305/2015/EU rendelet 54. cikkének (2) bekezdése.</w:t>
      </w:r>
    </w:p>
  </w:footnote>
  <w:footnote w:id="68">
    <w:p w:rsidR="00170A1A" w:rsidRPr="00FB64CC" w:rsidRDefault="00170A1A" w:rsidP="009A7C06">
      <w:pPr>
        <w:pStyle w:val="FootnoteText"/>
      </w:pPr>
      <w:r w:rsidRPr="00277D95">
        <w:rPr>
          <w:rStyle w:val="FootnoteReference"/>
          <w:highlight w:val="yellow"/>
        </w:rPr>
        <w:footnoteRef/>
      </w:r>
      <w:r>
        <w:rPr>
          <w:highlight w:val="yellow"/>
        </w:rPr>
        <w:t xml:space="preserve"> Az 1305/2015/EU rendelet 54. cikkének (3) bekezdése.</w:t>
      </w:r>
    </w:p>
  </w:footnote>
  <w:footnote w:id="69">
    <w:p w:rsidR="00170A1A" w:rsidRPr="00277D95" w:rsidRDefault="00170A1A" w:rsidP="00FC0A30">
      <w:pPr>
        <w:pStyle w:val="FootnoteText"/>
        <w:rPr>
          <w:highlight w:val="yellow"/>
        </w:rPr>
      </w:pPr>
      <w:r>
        <w:rPr>
          <w:rStyle w:val="FootnoteReference"/>
        </w:rPr>
        <w:footnoteRef/>
      </w:r>
      <w:r>
        <w:t xml:space="preserve"> </w:t>
      </w:r>
      <w:r>
        <w:rPr>
          <w:highlight w:val="yellow"/>
        </w:rPr>
        <w:t>Csak NVH-kontextuselemzés esetén</w:t>
      </w:r>
    </w:p>
  </w:footnote>
  <w:footnote w:id="70">
    <w:p w:rsidR="00170A1A" w:rsidRPr="00277D95" w:rsidRDefault="00170A1A" w:rsidP="00FC0A30">
      <w:pPr>
        <w:pStyle w:val="FootnoteText"/>
        <w:rPr>
          <w:highlight w:val="yellow"/>
        </w:rPr>
      </w:pPr>
      <w:r w:rsidRPr="00277D95">
        <w:rPr>
          <w:rStyle w:val="FootnoteReference"/>
          <w:highlight w:val="yellow"/>
        </w:rPr>
        <w:footnoteRef/>
      </w:r>
      <w:r>
        <w:rPr>
          <w:rFonts w:ascii="Calibri" w:hAnsi="Calibri"/>
          <w:sz w:val="18"/>
          <w:szCs w:val="18"/>
          <w:highlight w:val="yellow"/>
        </w:rPr>
        <w:t xml:space="preserve"> </w:t>
      </w:r>
      <w:r>
        <w:rPr>
          <w:highlight w:val="yellow"/>
        </w:rPr>
        <w:t>Az 1305/2013/EU rendelet 54. cikkének (2) bekezdése.</w:t>
      </w:r>
    </w:p>
  </w:footnote>
  <w:footnote w:id="71">
    <w:p w:rsidR="00170A1A" w:rsidRPr="00523173" w:rsidRDefault="00170A1A" w:rsidP="00FC0A30">
      <w:pPr>
        <w:pStyle w:val="FootnoteText"/>
      </w:pPr>
      <w:r w:rsidRPr="00277D95">
        <w:rPr>
          <w:rStyle w:val="FootnoteReference"/>
          <w:szCs w:val="16"/>
          <w:highlight w:val="yellow"/>
        </w:rPr>
        <w:footnoteRef/>
      </w:r>
      <w:r>
        <w:rPr>
          <w:rFonts w:ascii="Calibri" w:hAnsi="Calibri"/>
          <w:sz w:val="18"/>
          <w:szCs w:val="18"/>
          <w:highlight w:val="yellow"/>
        </w:rPr>
        <w:t xml:space="preserve"> </w:t>
      </w:r>
      <w:r>
        <w:rPr>
          <w:highlight w:val="yellow"/>
        </w:rPr>
        <w:t>Az 1305/2013/EU rendelet 54. cikkének (3) bekezdése.</w:t>
      </w:r>
    </w:p>
  </w:footnote>
  <w:footnote w:id="72">
    <w:p w:rsidR="00170A1A" w:rsidRPr="00956C51" w:rsidRDefault="00170A1A" w:rsidP="00FC0A30">
      <w:pPr>
        <w:pStyle w:val="FootnoteText"/>
      </w:pPr>
      <w:r>
        <w:rPr>
          <w:rStyle w:val="FootnoteReference"/>
        </w:rPr>
        <w:footnoteRef/>
      </w:r>
      <w:r>
        <w:t xml:space="preserve"> </w:t>
      </w:r>
      <w:hyperlink r:id="rId20" w:history="1">
        <w:r>
          <w:rPr>
            <w:rStyle w:val="Hyperlink"/>
            <w:highlight w:val="yellow"/>
          </w:rPr>
          <w:t>http://ec.europa.eu/smart-regulation/guidelines/tool_13_en.htm</w:t>
        </w:r>
      </w:hyperlink>
      <w:r>
        <w:rPr>
          <w:highlight w:val="yellow"/>
        </w:rPr>
        <w:t xml:space="preserve"> és Műszaki kézikönyv a 2014–2020-as időszakra vonatkozó közös agrárpolitika monitoring- és értékelési keretrendszeréről, Mezőgazdasági és Vidékfejlesztési Főigazgatóság, 2015, szójegyzék</w:t>
      </w:r>
    </w:p>
  </w:footnote>
  <w:footnote w:id="73">
    <w:p w:rsidR="00170A1A" w:rsidRPr="00277D95" w:rsidRDefault="00170A1A" w:rsidP="00FC0A30">
      <w:pPr>
        <w:pStyle w:val="FootnoteText"/>
        <w:rPr>
          <w:highlight w:val="yellow"/>
        </w:rPr>
      </w:pPr>
      <w:r w:rsidRPr="00576C57">
        <w:rPr>
          <w:rStyle w:val="FootnoteReference"/>
          <w:rFonts w:eastAsiaTheme="minorEastAsia" w:cs="Arial"/>
          <w:szCs w:val="16"/>
        </w:rPr>
        <w:footnoteRef/>
      </w:r>
      <w:r>
        <w:t xml:space="preserve"> </w:t>
      </w:r>
      <w:r>
        <w:rPr>
          <w:highlight w:val="yellow"/>
        </w:rPr>
        <w:t xml:space="preserve">Lásd </w:t>
      </w:r>
      <w:r>
        <w:rPr>
          <w:b/>
          <w:color w:val="E7E6E6" w:themeColor="background2"/>
          <w:highlight w:val="yellow"/>
        </w:rPr>
        <w:t>II. rész</w:t>
      </w:r>
      <w:r>
        <w:rPr>
          <w:highlight w:val="yellow"/>
        </w:rPr>
        <w:t xml:space="preserve">, 8.1. fejezet: Az értékelési kérdések szerepe az NVH-k értékelésében </w:t>
      </w:r>
    </w:p>
  </w:footnote>
  <w:footnote w:id="74">
    <w:p w:rsidR="00170A1A" w:rsidRPr="000D1D32" w:rsidRDefault="00170A1A" w:rsidP="00FC0A30">
      <w:pPr>
        <w:pStyle w:val="FootnoteText"/>
      </w:pPr>
      <w:r w:rsidRPr="00277D95">
        <w:rPr>
          <w:rStyle w:val="FootnoteReference"/>
          <w:highlight w:val="yellow"/>
        </w:rPr>
        <w:footnoteRef/>
      </w:r>
      <w:r>
        <w:rPr>
          <w:highlight w:val="yellow"/>
        </w:rPr>
        <w:t xml:space="preserve"> A Bizottság 808/2014/EU végrehajtási rendelete, V. melléklet, 21. értékelési kérdés.</w:t>
      </w:r>
      <w:r>
        <w:t xml:space="preserve"> </w:t>
      </w:r>
    </w:p>
  </w:footnote>
  <w:footnote w:id="75">
    <w:p w:rsidR="00170A1A" w:rsidRPr="00EE03C9" w:rsidRDefault="00170A1A" w:rsidP="00FC0A30">
      <w:pPr>
        <w:pStyle w:val="FootnoteText"/>
        <w:rPr>
          <w:highlight w:val="yellow"/>
        </w:rPr>
      </w:pPr>
      <w:r>
        <w:rPr>
          <w:rStyle w:val="FootnoteReference"/>
        </w:rPr>
        <w:footnoteRef/>
      </w:r>
      <w:r>
        <w:t xml:space="preserve"> </w:t>
      </w:r>
      <w:hyperlink r:id="rId21" w:history="1">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és</w:t>
      </w:r>
      <w:r>
        <w:rPr>
          <w:highlight w:val="yellow"/>
        </w:rPr>
        <w:t xml:space="preserve"> </w:t>
      </w:r>
      <w:hyperlink r:id="rId22" w:history="1">
        <w:r>
          <w:rPr>
            <w:rStyle w:val="Hyperlink"/>
            <w:highlight w:val="yellow"/>
          </w:rPr>
          <w:t>http://enrd.ec.europa.eu/enrd-static/evaluation/good-practices-workshops/national-rural-networks/en/national-rural-networks_en.html</w:t>
        </w:r>
      </w:hyperlink>
    </w:p>
  </w:footnote>
  <w:footnote w:id="76">
    <w:p w:rsidR="00170A1A" w:rsidRPr="00EE03C9" w:rsidRDefault="00170A1A" w:rsidP="00FC0A30">
      <w:pPr>
        <w:pStyle w:val="FootnoteText"/>
        <w:rPr>
          <w:highlight w:val="yellow"/>
        </w:rPr>
      </w:pPr>
      <w:r w:rsidRPr="00EE03C9">
        <w:rPr>
          <w:rStyle w:val="FootnoteReference"/>
          <w:highlight w:val="yellow"/>
        </w:rPr>
        <w:footnoteRef/>
      </w:r>
      <w:r>
        <w:rPr>
          <w:highlight w:val="yellow"/>
        </w:rPr>
        <w:t xml:space="preserve"> </w:t>
      </w:r>
      <w:hyperlink r:id="rId23" w:history="1">
        <w:r>
          <w:rPr>
            <w:rStyle w:val="Hyperlink"/>
            <w:highlight w:val="yellow"/>
          </w:rPr>
          <w:t>http://enrd.ec.europa.eu/enrd-static/evaluation/library/evaluation-helpdesk-publications/en/evaluation-helpdesk-publications_en.html</w:t>
        </w:r>
      </w:hyperlink>
    </w:p>
  </w:footnote>
  <w:footnote w:id="77">
    <w:p w:rsidR="00170A1A" w:rsidRPr="00EE03C9" w:rsidRDefault="00170A1A" w:rsidP="00FC0A30">
      <w:pPr>
        <w:pStyle w:val="FootnoteText"/>
        <w:rPr>
          <w:highlight w:val="yellow"/>
        </w:rPr>
      </w:pPr>
      <w:r w:rsidRPr="00EE03C9">
        <w:rPr>
          <w:rStyle w:val="FootnoteReference"/>
          <w:rFonts w:eastAsiaTheme="minorEastAsia" w:cs="Arial"/>
          <w:szCs w:val="16"/>
          <w:highlight w:val="yellow"/>
        </w:rPr>
        <w:footnoteRef/>
      </w:r>
      <w:r>
        <w:rPr>
          <w:szCs w:val="16"/>
          <w:highlight w:val="yellow"/>
        </w:rPr>
        <w:t xml:space="preserve"> </w:t>
      </w:r>
      <w:r>
        <w:rPr>
          <w:highlight w:val="yellow"/>
        </w:rPr>
        <w:t xml:space="preserve">Munkadokumentum: </w:t>
      </w:r>
      <w:hyperlink r:id="rId24" w:history="1">
        <w:r>
          <w:rPr>
            <w:highlight w:val="yellow"/>
          </w:rPr>
          <w:t>Nemzeti vidékfejlesztési hálózati programok értékelése, Európai vidékfejlesztési értékelő hálózat, 2010. július, 18. oldal</w:t>
        </w:r>
      </w:hyperlink>
      <w:r>
        <w:rPr>
          <w:highlight w:val="yellow"/>
        </w:rPr>
        <w:t>Nemzeti vidékfejlesztési hálózati programok értékelése, Európai vidékfejlesztési értékelő hálózat, 2010. július, 18. oldal</w:t>
      </w:r>
      <w:hyperlink r:id="rId25" w:history="1">
        <w:r>
          <w:rPr>
            <w:highlight w:val="yellow"/>
          </w:rPr>
          <w:t xml:space="preserve"> </w:t>
        </w:r>
      </w:hyperlink>
      <w:r>
        <w:rPr>
          <w:highlight w:val="yellow"/>
        </w:rPr>
        <w:t xml:space="preserve"> </w:t>
      </w:r>
    </w:p>
  </w:footnote>
  <w:footnote w:id="78">
    <w:p w:rsidR="00170A1A" w:rsidRPr="006B6A82" w:rsidRDefault="00170A1A" w:rsidP="00FC0A30">
      <w:pPr>
        <w:pStyle w:val="FootnoteText"/>
      </w:pPr>
      <w:r w:rsidRPr="00EE03C9">
        <w:rPr>
          <w:rStyle w:val="FootnoteReference"/>
          <w:highlight w:val="yellow"/>
        </w:rPr>
        <w:footnoteRef/>
      </w:r>
      <w:r>
        <w:rPr>
          <w:highlight w:val="yellow"/>
        </w:rPr>
        <w:t xml:space="preserve"> A EuropeAid értékelési útmutatója: </w:t>
      </w:r>
      <w:r>
        <w:rPr>
          <w:rStyle w:val="Hyperlink"/>
          <w:highlight w:val="yellow"/>
        </w:rPr>
        <w:t>http://ec.europa.eu/europeaid/evaluation/methodology/methods/mth_cri_en.htm</w:t>
      </w:r>
    </w:p>
  </w:footnote>
  <w:footnote w:id="79">
    <w:p w:rsidR="00170A1A" w:rsidRPr="00E1401C" w:rsidRDefault="00170A1A" w:rsidP="00FC0A30">
      <w:pPr>
        <w:pStyle w:val="FootnoteText"/>
        <w:rPr>
          <w:rFonts w:ascii="Calibri" w:hAnsi="Calibri"/>
          <w:sz w:val="18"/>
          <w:szCs w:val="18"/>
        </w:rPr>
      </w:pPr>
      <w:r w:rsidRPr="006B6A82">
        <w:rPr>
          <w:rStyle w:val="FootnoteReference"/>
        </w:rPr>
        <w:footnoteRef/>
      </w:r>
      <w:r>
        <w:rPr>
          <w:rFonts w:ascii="Calibri" w:hAnsi="Calibri"/>
          <w:sz w:val="18"/>
          <w:szCs w:val="18"/>
        </w:rPr>
        <w:t xml:space="preserve"> </w:t>
      </w:r>
      <w:r>
        <w:rPr>
          <w:rFonts w:ascii="Calibri" w:hAnsi="Calibri"/>
          <w:sz w:val="18"/>
          <w:szCs w:val="18"/>
          <w:highlight w:val="yellow"/>
        </w:rPr>
        <w:t>A Bizottság 808/2014/EU végrehajtási rendeletének IV. melléklete, Munkadokumentum: Vidékfejlesztési programkészítés és célmeghatározás (2014–2020)</w:t>
      </w:r>
    </w:p>
  </w:footnote>
  <w:footnote w:id="80">
    <w:p w:rsidR="00170A1A" w:rsidRPr="00D70FD5" w:rsidRDefault="00170A1A" w:rsidP="00FC0A30">
      <w:pPr>
        <w:pStyle w:val="FootnoteText"/>
      </w:pPr>
      <w:r>
        <w:rPr>
          <w:rStyle w:val="FootnoteReference"/>
        </w:rPr>
        <w:footnoteRef/>
      </w:r>
      <w:r>
        <w:t xml:space="preserve"> </w:t>
      </w:r>
      <w:r>
        <w:rPr>
          <w:highlight w:val="yellow"/>
        </w:rPr>
        <w:t xml:space="preserve">Műszaki kézikönyv a 2014–2020-as időszakra vonatkozó közös agrárpolitika monitoring- és értékelési keretrendszeréről, </w:t>
      </w:r>
      <w:hyperlink r:id="rId26" w:history="1">
        <w:r>
          <w:rPr>
            <w:rStyle w:val="Hyperlink"/>
            <w:highlight w:val="yellow"/>
          </w:rPr>
          <w:t>http://ec.europa.eu/agriculture/cap-post-2013/monitoring-evaluation/index_en.htm</w:t>
        </w:r>
      </w:hyperlink>
    </w:p>
  </w:footnote>
  <w:footnote w:id="81">
    <w:p w:rsidR="00170A1A" w:rsidRPr="000574FB" w:rsidRDefault="00170A1A" w:rsidP="00FC0A30">
      <w:pPr>
        <w:pStyle w:val="FootnoteText"/>
      </w:pPr>
      <w:r w:rsidRPr="00576C57">
        <w:rPr>
          <w:rStyle w:val="FootnoteReference"/>
          <w:rFonts w:eastAsiaTheme="minorEastAsia" w:cs="Arial"/>
          <w:szCs w:val="16"/>
        </w:rPr>
        <w:footnoteRef/>
      </w:r>
      <w:r>
        <w:t xml:space="preserve"> </w:t>
      </w:r>
      <w:r>
        <w:rPr>
          <w:szCs w:val="16"/>
          <w:highlight w:val="yellow"/>
        </w:rPr>
        <w:t xml:space="preserve">Munkadokumentum: </w:t>
      </w:r>
      <w:r>
        <w:rPr>
          <w:rStyle w:val="Hyperlink"/>
          <w:szCs w:val="16"/>
          <w:highlight w:val="yellow"/>
        </w:rPr>
        <w:t>Nemzeti vidékfejlesztési hálózati programok értékelése</w:t>
      </w:r>
      <w:r>
        <w:rPr>
          <w:szCs w:val="16"/>
          <w:highlight w:val="yellow"/>
        </w:rPr>
        <w:t>, Európai Vidékfejlesztési Értékelési Hálózat, 2010. július, 21–26. oldal</w:t>
      </w:r>
      <w:r>
        <w:t xml:space="preserve"> </w:t>
      </w:r>
    </w:p>
  </w:footnote>
  <w:footnote w:id="82">
    <w:p w:rsidR="00170A1A" w:rsidRPr="00F7430B" w:rsidRDefault="00170A1A" w:rsidP="00FC0A30">
      <w:pPr>
        <w:pStyle w:val="FootnoteText"/>
      </w:pPr>
      <w:r>
        <w:rPr>
          <w:rStyle w:val="FootnoteReference"/>
          <w:rFonts w:eastAsiaTheme="minorEastAsia"/>
        </w:rPr>
        <w:footnoteRef/>
      </w:r>
      <w:r>
        <w:t xml:space="preserve"> </w:t>
      </w:r>
      <w:r>
        <w:rPr>
          <w:highlight w:val="yellow"/>
        </w:rPr>
        <w:t xml:space="preserve">További információ: </w:t>
      </w:r>
      <w:hyperlink r:id="rId27" w:history="1">
        <w:r>
          <w:rPr>
            <w:highlight w:val="yellow"/>
          </w:rPr>
          <w:t>Iránymutatás a 2007–2013-as vidékfejlesztési programok félidős értékelésére vonatkozóan, Európai Vidékfejlesztési Értékelési Hálózat, 2009. július, 11–13. oldal, valamint a következő iránymutatás:</w:t>
        </w:r>
      </w:hyperlink>
      <w:r>
        <w:rPr>
          <w:highlight w:val="yellow"/>
        </w:rPr>
        <w:t>Iránymutatás a 2007–2013-as vidékfejlesztési programok félidős értékelésére vonatkozóan, Európai Vidékfejlesztési Értékelési Hálózat, 2009. július, 11–13. oldal, valamint a következő iránymutatás:</w:t>
      </w:r>
      <w:hyperlink r:id="rId28" w:history="1">
        <w:r>
          <w:rPr>
            <w:highlight w:val="yellow"/>
          </w:rPr>
          <w:t xml:space="preserve"> A 2014–2020-as időszakban megvalósítandó VFP-kre vonatkozó értékelési terv kidolgozása és megvalósítása”, Európai Vidékfejlesztési Értékelési Hálózat, 2014. március, 67–72. oldal</w:t>
        </w:r>
      </w:hyperlink>
      <w:r>
        <w:rPr>
          <w:highlight w:val="yellow"/>
        </w:rPr>
        <w:t xml:space="preserve"> A 2014–2020-as időszakban megvalósítandó VFP-kre vonatkozó értékelési terv kidolgozása és megvalósítása”, Európai Vidékfejlesztési Értékelési Hálózat, 2014. március, 67–72. oldal</w:t>
      </w:r>
    </w:p>
  </w:footnote>
  <w:footnote w:id="83">
    <w:p w:rsidR="00170A1A" w:rsidRPr="005B51FF" w:rsidRDefault="00170A1A" w:rsidP="001249DA">
      <w:pPr>
        <w:pStyle w:val="CommentText"/>
        <w:spacing w:before="0" w:after="0"/>
      </w:pPr>
      <w:r>
        <w:rPr>
          <w:rStyle w:val="FootnoteReference"/>
        </w:rPr>
        <w:footnoteRef/>
      </w:r>
      <w:r>
        <w:rPr>
          <w:rStyle w:val="FootnoteTextChar1"/>
        </w:rPr>
        <w:t xml:space="preserve"> </w:t>
      </w:r>
      <w:r>
        <w:rPr>
          <w:rStyle w:val="FootnoteTextChar1"/>
          <w:highlight w:val="yellow"/>
        </w:rPr>
        <w:t>Portugáliában például az NVH a közös eszközökből (például események értékelésére szolgáló kérdőívekből) módszertani útmutatót állított össze, amelyet az NVH kedvezményezettjei a tevékenységeikhez használhatnak. Ezek az eszközök online elérhetők.</w:t>
      </w:r>
      <w:r>
        <w:rPr>
          <w:rStyle w:val="FootnoteTextChar1"/>
        </w:rPr>
        <w:t xml:space="preserve"> </w:t>
      </w:r>
    </w:p>
  </w:footnote>
  <w:footnote w:id="84">
    <w:p w:rsidR="00170A1A" w:rsidRPr="00EE03C9" w:rsidRDefault="00170A1A" w:rsidP="000574FB">
      <w:pPr>
        <w:pStyle w:val="FootnoteText"/>
        <w:rPr>
          <w:highlight w:val="yellow"/>
        </w:rPr>
      </w:pPr>
      <w:r>
        <w:rPr>
          <w:rStyle w:val="FootnoteReference"/>
          <w:rFonts w:eastAsiaTheme="minorEastAsia"/>
        </w:rPr>
        <w:footnoteRef/>
      </w:r>
      <w:r>
        <w:t xml:space="preserve"> </w:t>
      </w:r>
      <w:r>
        <w:rPr>
          <w:highlight w:val="yellow"/>
        </w:rPr>
        <w:t xml:space="preserve">Az értékelés négy szakaszával kapcsolatos további információk: </w:t>
      </w:r>
      <w:hyperlink r:id="rId29" w:history="1">
        <w:r>
          <w:rPr>
            <w:rStyle w:val="Hyperlink"/>
            <w:highlight w:val="yellow"/>
          </w:rPr>
          <w:t>CMEF – B. útmutató magyarázat – Értékelési iránymutatás</w:t>
        </w:r>
      </w:hyperlink>
      <w:r>
        <w:rPr>
          <w:color w:val="E7E6E6" w:themeColor="background2"/>
          <w:highlight w:val="yellow"/>
        </w:rPr>
        <w:t xml:space="preserve"> (2007–2013)</w:t>
      </w:r>
    </w:p>
  </w:footnote>
  <w:footnote w:id="85">
    <w:p w:rsidR="00170A1A" w:rsidRPr="00F7430B" w:rsidRDefault="00170A1A" w:rsidP="00352793">
      <w:pPr>
        <w:pStyle w:val="FootnoteText"/>
      </w:pPr>
      <w:r w:rsidRPr="00EE03C9">
        <w:rPr>
          <w:rStyle w:val="FootnoteReference"/>
          <w:rFonts w:eastAsiaTheme="minorEastAsia"/>
          <w:highlight w:val="yellow"/>
        </w:rPr>
        <w:footnoteRef/>
      </w:r>
      <w:r>
        <w:rPr>
          <w:highlight w:val="yellow"/>
        </w:rPr>
        <w:t xml:space="preserve"> Az Élelmezési Világprogram (WFP) értékeléseinek minőségbiztosítási rendszere </w:t>
      </w:r>
      <w:hyperlink r:id="rId30" w:history="1">
        <w:r>
          <w:rPr>
            <w:highlight w:val="yellow"/>
          </w:rPr>
          <w:t>http://www.wfp.org/evaluation/methods-and-tools/eqas-evaluation-quality-assurance-system</w:t>
        </w:r>
      </w:hyperlink>
      <w:r>
        <w:t xml:space="preserve"> </w:t>
      </w:r>
    </w:p>
  </w:footnote>
  <w:footnote w:id="86">
    <w:p w:rsidR="00170A1A" w:rsidRPr="00F7430B" w:rsidRDefault="00170A1A" w:rsidP="000574FB">
      <w:pPr>
        <w:pStyle w:val="FootnoteText"/>
      </w:pPr>
      <w:r>
        <w:rPr>
          <w:rStyle w:val="FootnoteReference"/>
          <w:rFonts w:eastAsiaTheme="minorEastAsia"/>
        </w:rPr>
        <w:footnoteRef/>
      </w:r>
      <w:r>
        <w:t xml:space="preserve"> </w:t>
      </w:r>
      <w:hyperlink r:id="rId31" w:history="1">
        <w:r>
          <w:rPr>
            <w:highlight w:val="yellow"/>
          </w:rPr>
          <w:t>6. melléklet „Minőségbiztosítási nyomtatvány”</w:t>
        </w:r>
      </w:hyperlink>
      <w:r>
        <w:rPr>
          <w:highlight w:val="yellow"/>
        </w:rPr>
        <w:t>, Belső Piaci és Szolgáltatási Főigazgatóság: Útmutató a jogszabály-értékeléshez, 87–97. oldal</w:t>
      </w:r>
    </w:p>
  </w:footnote>
  <w:footnote w:id="87">
    <w:p w:rsidR="00170A1A" w:rsidRPr="000C17C2" w:rsidRDefault="00170A1A" w:rsidP="00E429AA">
      <w:pPr>
        <w:pStyle w:val="FootnoteText"/>
        <w:rPr>
          <w:lang w:val="en-GB"/>
        </w:rPr>
      </w:pPr>
      <w:r>
        <w:rPr>
          <w:rStyle w:val="FootnoteReference"/>
        </w:rPr>
        <w:footnoteRef/>
      </w:r>
      <w:r w:rsidRPr="003C23DE">
        <w:rPr>
          <w:lang w:val="en-GB"/>
        </w:rPr>
        <w:t xml:space="preserve"> </w:t>
      </w:r>
      <w:r w:rsidRPr="000C17C2">
        <w:rPr>
          <w:lang w:val="en-GB"/>
        </w:rPr>
        <w:t>See also: Helpdesk of the European Rural Evaluation Network (2014): Guidelines for the Ex post Evaluation of 2007-2013 RDPs. Brussels. P. 61ff.,</w:t>
      </w:r>
      <w:hyperlink r:id="rId32" w:history="1">
        <w:r w:rsidRPr="000C17C2">
          <w:rPr>
            <w:rStyle w:val="Hyperlink"/>
            <w:lang w:val="en-GB"/>
          </w:rPr>
          <w:t>http://enrd.ec.europa.eu/enrd-static/evaluation/library/evaluation-helpdesk-publications/en/evaluation-helpdesk-publications_en.html</w:t>
        </w:r>
      </w:hyperlink>
    </w:p>
  </w:footnote>
  <w:footnote w:id="88">
    <w:p w:rsidR="00170A1A" w:rsidRPr="0041009C" w:rsidRDefault="00170A1A" w:rsidP="00E429AA">
      <w:pPr>
        <w:pStyle w:val="FootnoteText"/>
        <w:rPr>
          <w:lang w:val="en-US"/>
        </w:rPr>
      </w:pPr>
      <w:r w:rsidRPr="000C17C2">
        <w:rPr>
          <w:rStyle w:val="FootnoteReference"/>
        </w:rPr>
        <w:footnoteRef/>
      </w:r>
      <w:r w:rsidRPr="000C17C2">
        <w:rPr>
          <w:lang w:val="en-US"/>
        </w:rPr>
        <w:t xml:space="preserve"> See the references for further reading at the end of chapter 3.1.</w:t>
      </w:r>
    </w:p>
  </w:footnote>
  <w:footnote w:id="89">
    <w:p w:rsidR="00170A1A" w:rsidRPr="003C23DE" w:rsidRDefault="00170A1A" w:rsidP="00E429AA">
      <w:pPr>
        <w:pStyle w:val="FootnoteText"/>
        <w:rPr>
          <w:lang w:val="en-GB"/>
        </w:rPr>
      </w:pPr>
      <w:r>
        <w:rPr>
          <w:rStyle w:val="FootnoteReference"/>
        </w:rPr>
        <w:footnoteRef/>
      </w:r>
      <w:r w:rsidRPr="003C23DE">
        <w:rPr>
          <w:lang w:val="en-GB"/>
        </w:rPr>
        <w:t xml:space="preserve"> Context parameters have been proposed by the ENRD Contact Point and the Helpdesk of the European Evaluation Network for Rural Development in 2014; as they are not part of</w:t>
      </w:r>
      <w:r>
        <w:rPr>
          <w:lang w:val="en-GB"/>
        </w:rPr>
        <w:t xml:space="preserve"> the</w:t>
      </w:r>
      <w:r w:rsidRPr="003C23DE">
        <w:rPr>
          <w:lang w:val="en-GB"/>
        </w:rPr>
        <w:t xml:space="preserve"> legal framework, they can be adjusted by Member </w:t>
      </w:r>
      <w:r>
        <w:rPr>
          <w:lang w:val="en-GB"/>
        </w:rPr>
        <w:t>S</w:t>
      </w:r>
      <w:r w:rsidRPr="003C23DE">
        <w:rPr>
          <w:lang w:val="en-GB"/>
        </w:rPr>
        <w:t xml:space="preserve">tates if appropriate. The list of context parameters can be found in </w:t>
      </w:r>
      <w:r w:rsidRPr="004B31E3">
        <w:rPr>
          <w:b/>
          <w:color w:val="E7E6E6" w:themeColor="background2"/>
          <w:lang w:val="en-GB"/>
        </w:rPr>
        <w:t>PART I</w:t>
      </w:r>
      <w:r w:rsidRPr="003C23DE">
        <w:rPr>
          <w:lang w:val="en-GB"/>
        </w:rPr>
        <w:t>, Chapter 2.2.2 Preparation of evaluation</w:t>
      </w:r>
    </w:p>
  </w:footnote>
  <w:footnote w:id="90">
    <w:p w:rsidR="00170A1A" w:rsidRPr="009E2C9F" w:rsidRDefault="00170A1A" w:rsidP="00E429AA">
      <w:pPr>
        <w:pStyle w:val="FootnoteText"/>
        <w:rPr>
          <w:lang w:val="sk-SK"/>
        </w:rPr>
      </w:pPr>
      <w:r>
        <w:rPr>
          <w:rStyle w:val="FootnoteReference"/>
        </w:rPr>
        <w:footnoteRef/>
      </w:r>
      <w:r w:rsidRPr="008A0246">
        <w:rPr>
          <w:lang w:val="en-GB"/>
        </w:rPr>
        <w:t xml:space="preserve"> </w:t>
      </w:r>
      <w:r>
        <w:rPr>
          <w:lang w:val="sk-SK"/>
        </w:rPr>
        <w:t xml:space="preserve">RACER: </w:t>
      </w:r>
      <w:r w:rsidRPr="008A0246">
        <w:rPr>
          <w:lang w:val="en-GB"/>
        </w:rPr>
        <w:t>relevant, accepted, credible, easy, robust</w:t>
      </w:r>
    </w:p>
  </w:footnote>
  <w:footnote w:id="91">
    <w:p w:rsidR="00170A1A" w:rsidRPr="003C23DE" w:rsidRDefault="00170A1A" w:rsidP="00E429AA">
      <w:pPr>
        <w:pStyle w:val="FootnoteText"/>
        <w:rPr>
          <w:lang w:val="en-GB"/>
        </w:rPr>
      </w:pPr>
      <w:r>
        <w:rPr>
          <w:rStyle w:val="FootnoteReference"/>
        </w:rPr>
        <w:footnoteRef/>
      </w:r>
      <w:r w:rsidRPr="003C23DE">
        <w:rPr>
          <w:lang w:val="en-GB"/>
        </w:rPr>
        <w:t xml:space="preserve"> Information about intervention logic´ effects can be found in the guidelines „Assessment of RDP results: How to prepare for reporting on evaluation in 2017“, published in </w:t>
      </w:r>
      <w:r>
        <w:rPr>
          <w:lang w:val="en-GB"/>
        </w:rPr>
        <w:t xml:space="preserve">April </w:t>
      </w:r>
      <w:r w:rsidRPr="003C23DE">
        <w:rPr>
          <w:lang w:val="en-GB"/>
        </w:rPr>
        <w:t xml:space="preserve">2016 </w:t>
      </w:r>
    </w:p>
  </w:footnote>
  <w:footnote w:id="92">
    <w:p w:rsidR="00170A1A" w:rsidRPr="00C85192" w:rsidRDefault="00170A1A" w:rsidP="00320BBA">
      <w:pPr>
        <w:pStyle w:val="FootnoteText"/>
      </w:pPr>
      <w:r w:rsidRPr="00C85192">
        <w:rPr>
          <w:rStyle w:val="FootnoteReference"/>
        </w:rPr>
        <w:footnoteRef/>
      </w:r>
      <w:r w:rsidRPr="00C85192">
        <w:t xml:space="preserve"> A következő iránymutatás további információt nyújt ezzel kapcsolatosan: A VFP eredményeinek értékelése: A 2017-es értékelési jelentéskészítésre való felkészülés módja. </w:t>
      </w:r>
    </w:p>
  </w:footnote>
  <w:footnote w:id="93">
    <w:p w:rsidR="00170A1A" w:rsidRPr="003C23DE" w:rsidRDefault="00170A1A" w:rsidP="008A12FB">
      <w:pPr>
        <w:pStyle w:val="FootnoteText"/>
        <w:rPr>
          <w:lang w:val="en-GB"/>
        </w:rPr>
      </w:pPr>
      <w:r w:rsidRPr="00557832">
        <w:rPr>
          <w:rStyle w:val="FootnoteReference"/>
        </w:rPr>
        <w:footnoteRef/>
      </w:r>
      <w:r w:rsidRPr="003C23DE">
        <w:rPr>
          <w:lang w:val="en-GB"/>
        </w:rPr>
        <w:t xml:space="preserve"> See also the guidelines: </w:t>
      </w:r>
      <w:r w:rsidRPr="009F1E27">
        <w:rPr>
          <w:lang w:val="en-GB"/>
        </w:rPr>
        <w:t>Assessment of RDP results: how to prepare for reporting on evaluation in 2017, to be published in 2016, Chapter 7.</w:t>
      </w:r>
    </w:p>
  </w:footnote>
  <w:footnote w:id="94">
    <w:p w:rsidR="00170A1A" w:rsidRPr="003C23DE" w:rsidRDefault="00170A1A" w:rsidP="008A12FB">
      <w:pPr>
        <w:pStyle w:val="FootnoteText"/>
        <w:rPr>
          <w:lang w:val="en-GB"/>
        </w:rPr>
      </w:pPr>
      <w:r w:rsidRPr="00557832">
        <w:rPr>
          <w:rStyle w:val="FootnoteReference"/>
        </w:rPr>
        <w:footnoteRef/>
      </w:r>
      <w:r w:rsidRPr="003C23DE">
        <w:rPr>
          <w:lang w:val="en-GB"/>
        </w:rPr>
        <w:t xml:space="preserve"> See for example the World Bank’s publications on measuring social capital, such as Working Paper No. 18, 2004: “Measuring social capital: an integrated questionnaire”, </w:t>
      </w:r>
      <w:hyperlink r:id="rId33" w:history="1">
        <w:r w:rsidRPr="003C23DE">
          <w:rPr>
            <w:lang w:val="en-GB"/>
          </w:rPr>
          <w:t>http://documents.worldbank.org/curated/en/2004/01/3050371/measuring-social-capital-integrated-questionnaire</w:t>
        </w:r>
      </w:hyperlink>
      <w:r>
        <w:rPr>
          <w:lang w:val="en-GB"/>
        </w:rPr>
        <w:t xml:space="preserve"> ; or particular approaches to capture changes induced by social innovation, e.g. the Regional Social Innovation Index (</w:t>
      </w:r>
      <w:hyperlink r:id="rId34" w:history="1">
        <w:r w:rsidRPr="00E01BC9">
          <w:rPr>
            <w:rStyle w:val="Hyperlink"/>
            <w:lang w:val="en-GB"/>
          </w:rPr>
          <w:t>http://avitem.org/IMG/pdf/cuaderno_resindex_eng.pdf</w:t>
        </w:r>
      </w:hyperlink>
      <w:r>
        <w:rPr>
          <w:lang w:val="en-GB"/>
        </w:rPr>
        <w:t xml:space="preserve">) developed for the Spanish Euskadi Region in 2013; or the achievements of the EU research project IAREG on indicators of social capital in the EU: </w:t>
      </w:r>
      <w:hyperlink r:id="rId35" w:history="1">
        <w:r w:rsidRPr="00E01BC9">
          <w:rPr>
            <w:rStyle w:val="Hyperlink"/>
            <w:lang w:val="en-GB"/>
          </w:rPr>
          <w:t>http://www.iareg.org/fileadmin/iareg/media/papers/WP2_02.pdf</w:t>
        </w:r>
      </w:hyperlink>
      <w:r>
        <w:rPr>
          <w:lang w:val="en-GB"/>
        </w:rPr>
        <w:t xml:space="preserve"> </w:t>
      </w:r>
    </w:p>
  </w:footnote>
  <w:footnote w:id="95">
    <w:p w:rsidR="00170A1A" w:rsidRPr="003C23DE" w:rsidRDefault="00170A1A" w:rsidP="008A12FB">
      <w:pPr>
        <w:pStyle w:val="FootnoteText"/>
        <w:rPr>
          <w:lang w:val="en-GB"/>
        </w:rPr>
      </w:pPr>
      <w:r>
        <w:rPr>
          <w:rStyle w:val="FootnoteReference"/>
        </w:rPr>
        <w:footnoteRef/>
      </w:r>
      <w:r w:rsidRPr="003C23DE">
        <w:rPr>
          <w:lang w:val="en-GB"/>
        </w:rPr>
        <w:t xml:space="preserve"> See also guidelines: Assessment of RDP results: how to prepare for reporting on evaluation in 2017, which will be published in </w:t>
      </w:r>
      <w:r>
        <w:rPr>
          <w:lang w:val="en-GB"/>
        </w:rPr>
        <w:t xml:space="preserve">April </w:t>
      </w:r>
      <w:r w:rsidRPr="003C23DE">
        <w:rPr>
          <w:lang w:val="en-GB"/>
        </w:rPr>
        <w:t>2016</w:t>
      </w:r>
    </w:p>
  </w:footnote>
  <w:footnote w:id="96">
    <w:p w:rsidR="00170A1A" w:rsidRPr="003C23DE" w:rsidRDefault="00170A1A" w:rsidP="00BC7932">
      <w:pPr>
        <w:pStyle w:val="FootnoteText"/>
        <w:rPr>
          <w:lang w:val="en-GB"/>
        </w:rPr>
      </w:pPr>
      <w:r>
        <w:rPr>
          <w:rStyle w:val="FootnoteReference"/>
        </w:rPr>
        <w:footnoteRef/>
      </w:r>
      <w:r w:rsidRPr="003C23DE">
        <w:rPr>
          <w:lang w:val="en-GB"/>
        </w:rPr>
        <w:t xml:space="preserve"> See also the guidelines: Assessment of RDP results: how to prepare for reporting on evaluation in 2</w:t>
      </w:r>
      <w:r>
        <w:rPr>
          <w:lang w:val="en-GB"/>
        </w:rPr>
        <w:t xml:space="preserve">017, which will be published in </w:t>
      </w:r>
      <w:r w:rsidRPr="003C23DE">
        <w:rPr>
          <w:lang w:val="en-GB"/>
        </w:rPr>
        <w:t xml:space="preserve">2016 </w:t>
      </w:r>
    </w:p>
  </w:footnote>
  <w:footnote w:id="97">
    <w:p w:rsidR="00170A1A" w:rsidRPr="003C23DE" w:rsidRDefault="00170A1A" w:rsidP="00BC7932">
      <w:pPr>
        <w:pStyle w:val="FootnoteText"/>
        <w:rPr>
          <w:lang w:val="en-GB"/>
        </w:rPr>
      </w:pPr>
      <w:r>
        <w:rPr>
          <w:rStyle w:val="FootnoteReference"/>
        </w:rPr>
        <w:footnoteRef/>
      </w:r>
      <w:r w:rsidRPr="003C23DE">
        <w:rPr>
          <w:lang w:val="en-GB"/>
        </w:rPr>
        <w:t xml:space="preserve"> Assessment of RDP results: how to prepare for reporting on evaluation in 2017, which will be published in </w:t>
      </w:r>
      <w:r>
        <w:rPr>
          <w:lang w:val="en-GB"/>
        </w:rPr>
        <w:t xml:space="preserve">April </w:t>
      </w:r>
      <w:r w:rsidRPr="003C23DE">
        <w:rPr>
          <w:lang w:val="en-GB"/>
        </w:rPr>
        <w:t xml:space="preserve">and Guidelines for ex post evaluation of 2007-2013 RDPs, </w:t>
      </w:r>
      <w:hyperlink r:id="rId36" w:history="1">
        <w:r w:rsidRPr="00B571DC">
          <w:rPr>
            <w:rStyle w:val="Hyperlink"/>
            <w:lang w:val="en-US"/>
          </w:rPr>
          <w:t>http://enrd.ec.europa.eu/enrd-static/evaluation/library/evaluation-helpdesk-publications/en/evaluation-helpdesk-publications_en.html</w:t>
        </w:r>
      </w:hyperlink>
    </w:p>
  </w:footnote>
  <w:footnote w:id="98">
    <w:p w:rsidR="00170A1A" w:rsidRPr="00165985" w:rsidRDefault="00170A1A" w:rsidP="00BC7932">
      <w:pPr>
        <w:pStyle w:val="FootnoteText"/>
        <w:rPr>
          <w:lang w:val="en-US"/>
        </w:rPr>
      </w:pPr>
      <w:r>
        <w:rPr>
          <w:rStyle w:val="FootnoteReference"/>
        </w:rPr>
        <w:footnoteRef/>
      </w:r>
      <w:r w:rsidRPr="00165985">
        <w:rPr>
          <w:lang w:val="en-US"/>
        </w:rPr>
        <w:t xml:space="preserve"> </w:t>
      </w:r>
      <w:r>
        <w:rPr>
          <w:lang w:val="en-US"/>
        </w:rPr>
        <w:t>See the Helpdesk Guide (July 2010): Approaches for assessing the impacts of the Rural Development Programmes in the context of multiple intervening factors, p. 26 ff.</w:t>
      </w:r>
    </w:p>
  </w:footnote>
  <w:footnote w:id="99">
    <w:p w:rsidR="00170A1A" w:rsidRPr="003C23DE" w:rsidRDefault="00170A1A" w:rsidP="00BC7932">
      <w:pPr>
        <w:pStyle w:val="FootnoteText"/>
        <w:rPr>
          <w:lang w:val="en-GB"/>
        </w:rPr>
      </w:pPr>
      <w:r w:rsidRPr="00F621DB">
        <w:rPr>
          <w:rStyle w:val="FootnoteReference"/>
        </w:rPr>
        <w:footnoteRef/>
      </w:r>
      <w:r w:rsidRPr="003C23DE">
        <w:rPr>
          <w:lang w:val="en-GB"/>
        </w:rPr>
        <w:t xml:space="preserve"> </w:t>
      </w:r>
      <w:r>
        <w:rPr>
          <w:lang w:val="en-GB"/>
        </w:rPr>
        <w:t xml:space="preserve">Idem, </w:t>
      </w:r>
      <w:r w:rsidRPr="003C23DE">
        <w:rPr>
          <w:lang w:val="en-GB"/>
        </w:rPr>
        <w:t>p. 56 ff.</w:t>
      </w:r>
    </w:p>
  </w:footnote>
  <w:footnote w:id="100">
    <w:p w:rsidR="00170A1A" w:rsidRPr="00C85192" w:rsidRDefault="00170A1A" w:rsidP="00320BBA">
      <w:pPr>
        <w:pStyle w:val="FootnoteText"/>
      </w:pPr>
      <w:r w:rsidRPr="00C85192">
        <w:rPr>
          <w:rStyle w:val="FootnoteReference"/>
        </w:rPr>
        <w:footnoteRef/>
      </w:r>
      <w:r w:rsidRPr="00C85192">
        <w:t xml:space="preserve"> Például SurveyMonkey, </w:t>
      </w:r>
      <w:hyperlink r:id="rId37" w:history="1">
        <w:r w:rsidRPr="00C85192">
          <w:rPr>
            <w:rStyle w:val="Hyperlink"/>
          </w:rPr>
          <w:t>https://www.surveymonkey.com/</w:t>
        </w:r>
      </w:hyperlink>
      <w:r w:rsidRPr="00C85192">
        <w:t xml:space="preserve">, KvikSurvey, </w:t>
      </w:r>
      <w:hyperlink r:id="rId38" w:history="1">
        <w:r w:rsidRPr="00C85192">
          <w:rPr>
            <w:rStyle w:val="Hyperlink"/>
          </w:rPr>
          <w:t>https://kwiksurveys.com/</w:t>
        </w:r>
      </w:hyperlink>
      <w:r w:rsidRPr="00C85192">
        <w:t xml:space="preserve"> stb.</w:t>
      </w:r>
    </w:p>
  </w:footnote>
  <w:footnote w:id="101">
    <w:p w:rsidR="00170A1A" w:rsidRPr="00C85192" w:rsidRDefault="00170A1A" w:rsidP="00320BBA">
      <w:pPr>
        <w:pStyle w:val="FootnoteText"/>
      </w:pPr>
      <w:r w:rsidRPr="00C85192">
        <w:rPr>
          <w:rStyle w:val="FootnoteReference"/>
        </w:rPr>
        <w:footnoteRef/>
      </w:r>
      <w:r w:rsidRPr="00C85192">
        <w:t xml:space="preserve"> </w:t>
      </w:r>
      <w:r w:rsidRPr="00C85192">
        <w:rPr>
          <w:rStyle w:val="Hyperlink"/>
        </w:rPr>
        <w:t>http://edutechwiki.unige.ch/en/Repertory_grid_technique</w:t>
      </w:r>
    </w:p>
  </w:footnote>
  <w:footnote w:id="102">
    <w:p w:rsidR="00170A1A" w:rsidRPr="00C85192" w:rsidRDefault="00170A1A" w:rsidP="00320BBA">
      <w:pPr>
        <w:pStyle w:val="FootnoteText"/>
      </w:pPr>
      <w:r w:rsidRPr="00C85192">
        <w:rPr>
          <w:rStyle w:val="FootnoteReference"/>
        </w:rPr>
        <w:footnoteRef/>
      </w:r>
      <w:r w:rsidRPr="00C85192">
        <w:t xml:space="preserve"> Steve de Shazer szerint „anélkül is tudhatjuk, hogy mi a jobb, hogy tudnánk, mi a jó”.</w:t>
      </w:r>
    </w:p>
  </w:footnote>
  <w:footnote w:id="103">
    <w:p w:rsidR="00170A1A" w:rsidRPr="00C85192" w:rsidRDefault="00170A1A" w:rsidP="00320BBA">
      <w:pPr>
        <w:pStyle w:val="FootnoteText"/>
      </w:pPr>
      <w:r w:rsidRPr="00C85192">
        <w:rPr>
          <w:rStyle w:val="FootnoteReference"/>
        </w:rPr>
        <w:footnoteRef/>
      </w:r>
      <w:r w:rsidRPr="00C85192">
        <w:t xml:space="preserve"> </w:t>
      </w:r>
      <w:hyperlink r:id="rId39" w:history="1">
        <w:r w:rsidRPr="00C85192">
          <w:rPr>
            <w:rStyle w:val="Hyperlink"/>
          </w:rPr>
          <w:t>https://en.wikipedia.org/wiki/Collective_intelligence</w:t>
        </w:r>
      </w:hyperlink>
      <w:r w:rsidRPr="00C85192">
        <w:t xml:space="preserve"> </w:t>
      </w:r>
    </w:p>
  </w:footnote>
  <w:footnote w:id="104">
    <w:p w:rsidR="00170A1A" w:rsidRPr="00C85192" w:rsidRDefault="00170A1A" w:rsidP="00320BBA">
      <w:pPr>
        <w:pStyle w:val="FootnoteText"/>
      </w:pPr>
      <w:r w:rsidRPr="00C85192">
        <w:rPr>
          <w:rStyle w:val="FootnoteReference"/>
        </w:rPr>
        <w:footnoteRef/>
      </w:r>
      <w:r w:rsidRPr="00C85192">
        <w:t xml:space="preserve"> Robert Lukesch, Harald Payer, Jutta Rabenau (2008): Wissen von innen – Fokusgruppen in der Begleitforschung von Regionen Aktiv. In: Michael Böcher, Max Krott, Sebastian Tränkner (2008): Regional Governance und integrierte ländliche Entwicklung. 179–205. o. Springer, Wiesbaden.</w:t>
      </w:r>
    </w:p>
  </w:footnote>
  <w:footnote w:id="105">
    <w:p w:rsidR="00170A1A" w:rsidRPr="00C85192" w:rsidRDefault="00170A1A" w:rsidP="00320BBA">
      <w:pPr>
        <w:pStyle w:val="FootnoteText"/>
      </w:pPr>
      <w:r w:rsidRPr="00C85192">
        <w:rPr>
          <w:rStyle w:val="FootnoteReference"/>
        </w:rPr>
        <w:footnoteRef/>
      </w:r>
      <w:r w:rsidRPr="00C85192">
        <w:t xml:space="preserve"> Enrique Mendizabal: </w:t>
      </w:r>
      <w:r w:rsidRPr="00C85192">
        <w:rPr>
          <w:i/>
        </w:rPr>
        <w:t>Understanding networks: The functions of research policy networks</w:t>
      </w:r>
      <w:r w:rsidRPr="00C85192">
        <w:t>, (A hálózatok megértése: A kutatáspolitikai hálózatok funkciói) Overseas Development Institute, London, 2006</w:t>
      </w:r>
    </w:p>
  </w:footnote>
  <w:footnote w:id="106">
    <w:p w:rsidR="00170A1A" w:rsidRPr="00C85192" w:rsidRDefault="00170A1A" w:rsidP="00B75E70">
      <w:pPr>
        <w:pStyle w:val="FootnoteText"/>
      </w:pPr>
      <w:r w:rsidRPr="00C85192">
        <w:rPr>
          <w:rStyle w:val="FootnoteReference"/>
        </w:rPr>
        <w:footnoteRef/>
      </w:r>
      <w:r w:rsidRPr="00C85192">
        <w:t xml:space="preserve"> R. Mitchell, B. Agle, and D. Wood, </w:t>
      </w:r>
      <w:r w:rsidRPr="00C85192">
        <w:rPr>
          <w:i/>
        </w:rPr>
        <w:t>Towards a theory of stakeholder identification and salience: defining the principle of who and what really counts</w:t>
      </w:r>
      <w:r w:rsidRPr="00C85192">
        <w:t xml:space="preserve"> (Az érdekeltek azonosításának és jelentőségének elmélete: ki és mi számít igazán), </w:t>
      </w:r>
      <w:r w:rsidRPr="00C85192">
        <w:rPr>
          <w:iCs/>
        </w:rPr>
        <w:t xml:space="preserve">Academy of </w:t>
      </w:r>
      <w:r w:rsidRPr="00C85192">
        <w:t xml:space="preserve"> </w:t>
      </w:r>
      <w:r w:rsidRPr="00C85192">
        <w:rPr>
          <w:iCs/>
        </w:rPr>
        <w:t>Management Review</w:t>
      </w:r>
      <w:r w:rsidRPr="00C85192">
        <w:t>, 22(4) (1997)</w:t>
      </w:r>
    </w:p>
  </w:footnote>
  <w:footnote w:id="107">
    <w:p w:rsidR="00170A1A" w:rsidRPr="00C85192" w:rsidRDefault="00170A1A" w:rsidP="00320BBA">
      <w:pPr>
        <w:pStyle w:val="FootnoteText"/>
      </w:pPr>
      <w:r w:rsidRPr="00C85192">
        <w:rPr>
          <w:rStyle w:val="FootnoteReference"/>
        </w:rPr>
        <w:footnoteRef/>
      </w:r>
      <w:r w:rsidRPr="00C85192">
        <w:t xml:space="preserve"> David Knoke és Song Young (2008), </w:t>
      </w:r>
      <w:r w:rsidRPr="00C85192">
        <w:rPr>
          <w:i/>
        </w:rPr>
        <w:t>Social network analysis (Kapcsolathálózat-elemzés), 2. kiadás</w:t>
      </w:r>
      <w:r w:rsidRPr="00C85192">
        <w:t xml:space="preserve">, SAGE Publications; Stanley Wasserman és Katherine Faust (1994), </w:t>
      </w:r>
      <w:r w:rsidRPr="00C85192">
        <w:rPr>
          <w:i/>
        </w:rPr>
        <w:t>Social network analysis. Methods and Applications (Kapcsolathálózat-elemzés. Módszertan és alkalmazási lehetőségek)</w:t>
      </w:r>
      <w:r w:rsidRPr="00C85192">
        <w:t>, Cambridge University Press.</w:t>
      </w:r>
    </w:p>
  </w:footnote>
  <w:footnote w:id="108">
    <w:p w:rsidR="00170A1A" w:rsidRPr="00C85192" w:rsidRDefault="00170A1A" w:rsidP="00320BBA">
      <w:pPr>
        <w:pStyle w:val="FootnoteText"/>
      </w:pPr>
      <w:r w:rsidRPr="00C85192">
        <w:rPr>
          <w:rStyle w:val="FootnoteReference"/>
        </w:rPr>
        <w:footnoteRef/>
      </w:r>
      <w:r w:rsidRPr="00C85192">
        <w:t xml:space="preserve"> Gesellschaft für Internationale Zusammenarbeit/GIZ (2015): Cooperation Management for Practitioners. Managing Social Change with Capacity WORKS. (Együttműködés kezelése – útmutató érintetteknek. A társadalmi változások kezelése a Capacity WORKS modellel.) Springer, Wiesbaden. A könyv angol, francia és német nyelven jelent meg.</w:t>
      </w:r>
    </w:p>
  </w:footnote>
  <w:footnote w:id="109">
    <w:p w:rsidR="00170A1A" w:rsidRPr="00C85192" w:rsidRDefault="00170A1A" w:rsidP="00320BBA">
      <w:pPr>
        <w:pStyle w:val="FootnoteText"/>
      </w:pPr>
      <w:r w:rsidRPr="00C85192">
        <w:rPr>
          <w:rStyle w:val="FootnoteReference"/>
        </w:rPr>
        <w:footnoteRef/>
      </w:r>
      <w:r w:rsidRPr="00C85192">
        <w:t xml:space="preserve"> Andrè Martinuzzi és Ursula Kopp: Systemic constellations in theory-based evaluations – tools and experiences (Rendszerállítások elméletalapú értékelésekben – eszközök és tapasztalatok). </w:t>
      </w:r>
      <w:hyperlink r:id="rId40" w:history="1">
        <w:r w:rsidRPr="00C85192">
          <w:rPr>
            <w:rStyle w:val="Hyperlink"/>
          </w:rPr>
          <w:t>http://ec.europa.eu/regional_policy/archive/conferences/evaluation2009/abstracts/martinuzzi.pdf</w:t>
        </w:r>
      </w:hyperlink>
      <w:r w:rsidRPr="00C85192">
        <w:t xml:space="preserve"> </w:t>
      </w:r>
    </w:p>
  </w:footnote>
  <w:footnote w:id="110">
    <w:p w:rsidR="00170A1A" w:rsidRPr="00C85192" w:rsidRDefault="00170A1A" w:rsidP="00320BBA">
      <w:pPr>
        <w:pStyle w:val="FootnoteText"/>
      </w:pPr>
      <w:r w:rsidRPr="00C85192">
        <w:rPr>
          <w:rStyle w:val="FootnoteReference"/>
        </w:rPr>
        <w:footnoteRef/>
      </w:r>
      <w:r w:rsidRPr="00C85192">
        <w:t xml:space="preserve"> Lásd például: Krysia M. Yardley-Matwiejczuk, 1997: Role Play-Theory and Practice (Szerepjáték – elmélet és gyakorlat), Sage.</w:t>
      </w:r>
    </w:p>
  </w:footnote>
  <w:footnote w:id="111">
    <w:p w:rsidR="00170A1A" w:rsidRPr="00C85192" w:rsidRDefault="00170A1A" w:rsidP="00320BBA">
      <w:pPr>
        <w:pStyle w:val="FootnoteText"/>
      </w:pPr>
      <w:r w:rsidRPr="00C85192">
        <w:rPr>
          <w:rStyle w:val="FootnoteReference"/>
        </w:rPr>
        <w:footnoteRef/>
      </w:r>
      <w:r w:rsidRPr="00C85192">
        <w:t xml:space="preserve"> </w:t>
      </w:r>
      <w:hyperlink r:id="rId41" w:history="1">
        <w:r w:rsidRPr="00C85192">
          <w:rPr>
            <w:rStyle w:val="Hyperlink"/>
          </w:rPr>
          <w:t>http://asgpp.org/pdf/psychodrama.conciseintro.pdf</w:t>
        </w:r>
      </w:hyperlink>
      <w:r w:rsidRPr="00C85192">
        <w:t xml:space="preserve"> </w:t>
      </w:r>
    </w:p>
  </w:footnote>
  <w:footnote w:id="112">
    <w:p w:rsidR="00170A1A" w:rsidRPr="00C85192" w:rsidRDefault="00170A1A" w:rsidP="00320BBA">
      <w:pPr>
        <w:pStyle w:val="FootnoteText"/>
      </w:pPr>
      <w:r w:rsidRPr="00C85192">
        <w:rPr>
          <w:rStyle w:val="FootnoteReference"/>
          <w:rFonts w:cs="Arial"/>
          <w:szCs w:val="16"/>
        </w:rPr>
        <w:footnoteRef/>
      </w:r>
      <w:r w:rsidRPr="00C85192">
        <w:t xml:space="preserve"> Lásd még a következő iránymutatásokat: A VFP eredményeinek értékelése: A 2017-es értékelési jelentéskészítésre való felkészülés módja, 7. fejezet.</w:t>
      </w:r>
    </w:p>
  </w:footnote>
  <w:footnote w:id="113">
    <w:p w:rsidR="00170A1A" w:rsidRPr="00C04FDB" w:rsidRDefault="00170A1A" w:rsidP="00BC7932">
      <w:pPr>
        <w:pStyle w:val="FootnoteText"/>
        <w:rPr>
          <w:lang w:val="en-US"/>
        </w:rPr>
      </w:pPr>
      <w:r>
        <w:rPr>
          <w:rStyle w:val="FootnoteReference"/>
        </w:rPr>
        <w:footnoteRef/>
      </w:r>
      <w:r w:rsidRPr="00C04FDB">
        <w:rPr>
          <w:lang w:val="en-US"/>
        </w:rPr>
        <w:t xml:space="preserve"> </w:t>
      </w:r>
      <w:r>
        <w:rPr>
          <w:lang w:val="en-US"/>
        </w:rPr>
        <w:t xml:space="preserve">The NRN Self-Assessment Toolkit provides a host of useful resources for practicing self-assessment for NSU: </w:t>
      </w:r>
      <w:hyperlink r:id="rId42" w:history="1">
        <w:r w:rsidRPr="008E0987">
          <w:rPr>
            <w:rStyle w:val="Hyperlink"/>
            <w:lang w:val="en-US"/>
          </w:rPr>
          <w:t>http://enrd.ec.europa.eu/enrd-static/networks-and-networking/nrn-self-assessment-tool-kit/practical-tools-for-nrn-self-assessment/en/practical-tools-for-nrn-self-assessment_en.html</w:t>
        </w:r>
      </w:hyperlink>
      <w:r>
        <w:rPr>
          <w:lang w:val="en-US"/>
        </w:rPr>
        <w:t xml:space="preserve"> </w:t>
      </w:r>
    </w:p>
  </w:footnote>
  <w:footnote w:id="114">
    <w:p w:rsidR="00170A1A" w:rsidRPr="008A0246" w:rsidRDefault="00170A1A" w:rsidP="00F1381B">
      <w:pPr>
        <w:pStyle w:val="FootnoteText"/>
      </w:pPr>
      <w:r>
        <w:rPr>
          <w:rStyle w:val="FootnoteReference"/>
        </w:rPr>
        <w:footnoteRef/>
      </w:r>
      <w:r w:rsidRPr="00E75A48">
        <w:rPr>
          <w:lang w:val="en-US"/>
        </w:rPr>
        <w:t xml:space="preserve"> </w:t>
      </w:r>
      <w:r>
        <w:rPr>
          <w:lang w:val="en-US"/>
        </w:rPr>
        <w:t xml:space="preserve">See for example the Scottish case study presented during the Helpdesk workshop held in Rome, 11/12 April 2014: “NRN – How to show their benefits.” </w:t>
      </w:r>
      <w:hyperlink r:id="rId43" w:history="1">
        <w:r w:rsidRPr="008A0246">
          <w:rPr>
            <w:rStyle w:val="Hyperlink"/>
          </w:rPr>
          <w:t>https://enrd.ec.europa.eu/sites/enrd/files/assets/pdf/evaluation/national-rural-networks/GPW10_Scotland.pdf</w:t>
        </w:r>
      </w:hyperlink>
      <w:r w:rsidRPr="008A0246">
        <w:t xml:space="preserve"> </w:t>
      </w:r>
    </w:p>
  </w:footnote>
  <w:footnote w:id="115">
    <w:p w:rsidR="00170A1A" w:rsidRPr="00472DFD" w:rsidRDefault="00170A1A" w:rsidP="00F1381B">
      <w:pPr>
        <w:pStyle w:val="FootnoteText"/>
        <w:rPr>
          <w:lang w:val="en-US"/>
        </w:rPr>
      </w:pPr>
      <w:r>
        <w:rPr>
          <w:rStyle w:val="FootnoteReference"/>
        </w:rPr>
        <w:footnoteRef/>
      </w:r>
      <w:r w:rsidRPr="00472DFD">
        <w:rPr>
          <w:lang w:val="en-US"/>
        </w:rPr>
        <w:t xml:space="preserve"> For instance</w:t>
      </w:r>
      <w:r>
        <w:rPr>
          <w:lang w:val="en-US"/>
        </w:rPr>
        <w:t>,</w:t>
      </w:r>
      <w:r w:rsidRPr="00472DFD">
        <w:rPr>
          <w:lang w:val="en-US"/>
        </w:rPr>
        <w:t xml:space="preserve"> the Austrian NRN Strategy 2014-2020</w:t>
      </w:r>
      <w:r>
        <w:rPr>
          <w:lang w:val="en-US"/>
        </w:rPr>
        <w:t xml:space="preserve">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170A1A" w:rsidRPr="00C85192" w:rsidRDefault="00170A1A" w:rsidP="000A3387">
      <w:pPr>
        <w:pStyle w:val="FootnoteText"/>
      </w:pPr>
      <w:r w:rsidRPr="00C85192">
        <w:rPr>
          <w:rStyle w:val="FootnoteReference"/>
        </w:rPr>
        <w:footnoteRef/>
      </w:r>
      <w:r w:rsidRPr="00C85192">
        <w:t xml:space="preserve"> Az „emic” megközelítés az emberek gondolkodását vizsgálja, azt, hogy hogyan látják és kategorizálják a világot (Wikipedia).</w:t>
      </w:r>
    </w:p>
  </w:footnote>
  <w:footnote w:id="117">
    <w:p w:rsidR="00170A1A" w:rsidRPr="00C04FDB" w:rsidRDefault="00170A1A" w:rsidP="000A3387">
      <w:pPr>
        <w:pStyle w:val="FootnoteText"/>
      </w:pPr>
      <w:r w:rsidRPr="00C85192">
        <w:rPr>
          <w:rStyle w:val="FootnoteReference"/>
        </w:rPr>
        <w:footnoteRef/>
      </w:r>
      <w:r w:rsidRPr="00C85192">
        <w:t xml:space="preserve"> </w:t>
      </w:r>
      <w:r w:rsidRPr="00C85192">
        <w:rPr>
          <w:color w:val="808080" w:themeColor="background1" w:themeShade="80"/>
          <w:szCs w:val="16"/>
          <w:shd w:val="clear" w:color="auto" w:fill="FFFFFF"/>
        </w:rPr>
        <w:t>Az „etic” módszerben a társadalomelemző vagy tudományos megfigyelő leír egy adott </w:t>
      </w:r>
      <w:hyperlink r:id="rId44" w:tooltip="Behavior" w:history="1">
        <w:r w:rsidRPr="00C85192">
          <w:rPr>
            <w:color w:val="808080" w:themeColor="background1" w:themeShade="80"/>
            <w:szCs w:val="16"/>
            <w:shd w:val="clear" w:color="auto" w:fill="FFFFFF"/>
          </w:rPr>
          <w:t>viselkedést</w:t>
        </w:r>
      </w:hyperlink>
      <w:r w:rsidRPr="00C85192">
        <w:rPr>
          <w:color w:val="808080" w:themeColor="background1" w:themeShade="80"/>
          <w:szCs w:val="16"/>
          <w:shd w:val="clear" w:color="auto" w:fill="FFFFFF"/>
        </w:rPr>
        <w:t> vagy meggyőződést (Wikipedia).</w:t>
      </w:r>
    </w:p>
  </w:footnote>
  <w:footnote w:id="118">
    <w:p w:rsidR="00170A1A" w:rsidRPr="003C23DE" w:rsidRDefault="00170A1A" w:rsidP="00F1381B">
      <w:pPr>
        <w:pStyle w:val="FootnoteText"/>
        <w:rPr>
          <w:lang w:val="en-GB"/>
        </w:rPr>
      </w:pPr>
      <w:r>
        <w:rPr>
          <w:rStyle w:val="FootnoteReference"/>
        </w:rPr>
        <w:footnoteRef/>
      </w:r>
      <w:r w:rsidRPr="003C23DE">
        <w:rPr>
          <w:lang w:val="en-GB"/>
        </w:rPr>
        <w:t xml:space="preserve"> Also see the guidelines: Assessment of RDP results: how to prepare for reporting on evaluation in 2017, Chapter 8.</w:t>
      </w:r>
    </w:p>
  </w:footnote>
  <w:footnote w:id="119">
    <w:p w:rsidR="00170A1A" w:rsidRPr="004F24B6" w:rsidRDefault="00170A1A" w:rsidP="00F1381B">
      <w:pPr>
        <w:pStyle w:val="FootnoteText"/>
        <w:rPr>
          <w:lang w:val="en-US"/>
        </w:rPr>
      </w:pPr>
      <w:r>
        <w:rPr>
          <w:rStyle w:val="FootnoteReference"/>
        </w:rPr>
        <w:footnoteRef/>
      </w:r>
      <w:r w:rsidRPr="004F24B6">
        <w:rPr>
          <w:lang w:val="en-US"/>
        </w:rPr>
        <w:t xml:space="preserve"> </w:t>
      </w:r>
      <w:r>
        <w:rPr>
          <w:lang w:val="en-US"/>
        </w:rPr>
        <w:t>E.g. multipliers are explicitly addressed by the Austrian Network Strategy.</w:t>
      </w:r>
    </w:p>
  </w:footnote>
  <w:footnote w:id="120">
    <w:p w:rsidR="00170A1A" w:rsidRPr="00DA0DC1" w:rsidRDefault="00170A1A" w:rsidP="00F1381B">
      <w:pPr>
        <w:pStyle w:val="FootnoteText"/>
        <w:rPr>
          <w:lang w:val="sk-SK"/>
        </w:rPr>
      </w:pPr>
      <w:r>
        <w:rPr>
          <w:rStyle w:val="FootnoteReference"/>
        </w:rPr>
        <w:footnoteRef/>
      </w:r>
      <w:r w:rsidRPr="008A0246">
        <w:rPr>
          <w:lang w:val="en-GB"/>
        </w:rPr>
        <w:t xml:space="preserve"> </w:t>
      </w:r>
      <w:r>
        <w:rPr>
          <w:lang w:val="sk-SK"/>
        </w:rPr>
        <w:t xml:space="preserve">Guidelines for ex post evaluation of 2007-2013 RDPs </w:t>
      </w:r>
      <w:hyperlink r:id="rId45" w:history="1">
        <w:r w:rsidRPr="00BC6476">
          <w:rPr>
            <w:rStyle w:val="Hyperlink"/>
            <w:lang w:val="sk-SK"/>
          </w:rPr>
          <w:t>http://enrd.ec.europa.eu/enrd-static/evaluation/library/evaluation-helpdesk-publications/en/evaluation-helpdesk-publications_en.html</w:t>
        </w:r>
      </w:hyperlink>
    </w:p>
  </w:footnote>
  <w:footnote w:id="121">
    <w:p w:rsidR="00170A1A" w:rsidRPr="00E07CE3" w:rsidRDefault="00170A1A" w:rsidP="00F1381B">
      <w:pPr>
        <w:pStyle w:val="FootnoteText"/>
        <w:rPr>
          <w:lang w:val="sk-SK"/>
        </w:rPr>
      </w:pPr>
      <w:r>
        <w:rPr>
          <w:rStyle w:val="FootnoteReference"/>
        </w:rPr>
        <w:footnoteRef/>
      </w:r>
      <w:r w:rsidRPr="008A0246">
        <w:rPr>
          <w:lang w:val="sk-SK"/>
        </w:rPr>
        <w:t xml:space="preserve"> </w:t>
      </w:r>
      <w:hyperlink r:id="rId46" w:history="1">
        <w:r w:rsidRPr="008A0246">
          <w:rPr>
            <w:rStyle w:val="Hyperlink"/>
            <w:lang w:val="sk-SK"/>
          </w:rPr>
          <w:t>http://ec.europa.eu/agriculture/evaluation/rural-development-reports/2014/investment-support-rdp/fulltext_en.pdf</w:t>
        </w:r>
      </w:hyperlink>
    </w:p>
  </w:footnote>
  <w:footnote w:id="122">
    <w:p w:rsidR="00170A1A" w:rsidRPr="003C23DE" w:rsidRDefault="00170A1A" w:rsidP="00F1381B">
      <w:pPr>
        <w:pStyle w:val="FootnoteText"/>
        <w:rPr>
          <w:lang w:val="en-GB"/>
        </w:rPr>
      </w:pPr>
      <w:r>
        <w:rPr>
          <w:rStyle w:val="FootnoteReference"/>
        </w:rPr>
        <w:footnoteRef/>
      </w:r>
      <w:r w:rsidRPr="003C23DE">
        <w:rPr>
          <w:lang w:val="en-GB"/>
        </w:rPr>
        <w:t xml:space="preserve"> Helpdesk of the European Evaluation Network for RDPs </w:t>
      </w:r>
      <w:r>
        <w:rPr>
          <w:lang w:val="en-GB"/>
        </w:rPr>
        <w:t>2007-2013</w:t>
      </w:r>
      <w:r w:rsidRPr="003C23DE">
        <w:rPr>
          <w:lang w:val="en-GB"/>
        </w:rPr>
        <w:t xml:space="preserve"> (2015): Working Document: Common Evaluation Questions for Rural Development Programmes 2014-2020.</w:t>
      </w:r>
    </w:p>
  </w:footnote>
  <w:footnote w:id="123">
    <w:p w:rsidR="00170A1A" w:rsidRPr="004E17E1" w:rsidRDefault="00170A1A" w:rsidP="00C4370D">
      <w:pPr>
        <w:pStyle w:val="FootnoteText"/>
        <w:rPr>
          <w:rFonts w:asciiTheme="minorHAnsi" w:hAnsiTheme="minorHAnsi"/>
        </w:rPr>
      </w:pPr>
      <w:r w:rsidRPr="004E17E1">
        <w:rPr>
          <w:rStyle w:val="FootnoteReference"/>
        </w:rPr>
        <w:footnoteRef/>
      </w:r>
      <w:r w:rsidRPr="004E17E1">
        <w:t xml:space="preserve"> </w:t>
      </w:r>
      <w:r w:rsidRPr="004E17E1">
        <w:rPr>
          <w:rFonts w:asciiTheme="minorHAnsi" w:hAnsiTheme="minorHAnsi"/>
        </w:rPr>
        <w:t>A Bizottság 808/2014/EU végrehajtási rendeletének V. melléklete.</w:t>
      </w:r>
    </w:p>
  </w:footnote>
  <w:footnote w:id="124">
    <w:p w:rsidR="00170A1A" w:rsidRPr="004E17E1" w:rsidRDefault="00170A1A" w:rsidP="00C4370D">
      <w:pPr>
        <w:pStyle w:val="FootnoteText"/>
      </w:pPr>
      <w:r w:rsidRPr="004E17E1">
        <w:rPr>
          <w:rStyle w:val="FootnoteReference"/>
        </w:rPr>
        <w:footnoteRef/>
      </w:r>
      <w:r w:rsidRPr="004E17E1">
        <w:t xml:space="preserve"> </w:t>
      </w:r>
      <w:r w:rsidRPr="004E17E1">
        <w:rPr>
          <w:szCs w:val="16"/>
        </w:rPr>
        <w:t>Capturing impacts of Leader and of measures to improve Quality of Life in rural areas (A Leader és a vidéki területek életminőségének javítására irányuló intézkedések hatásának megállapítása), Európai Vidékfejlesztési Értékelési Hálózat, 2010</w:t>
      </w:r>
    </w:p>
  </w:footnote>
  <w:footnote w:id="125">
    <w:p w:rsidR="00170A1A" w:rsidRPr="004E17E1" w:rsidRDefault="00170A1A" w:rsidP="00C4370D">
      <w:pPr>
        <w:pStyle w:val="FootnoteText"/>
      </w:pPr>
      <w:r w:rsidRPr="004E17E1">
        <w:rPr>
          <w:rStyle w:val="FootnoteReference"/>
        </w:rPr>
        <w:footnoteRef/>
      </w:r>
      <w:r w:rsidRPr="004E17E1">
        <w:t xml:space="preserve"> </w:t>
      </w:r>
      <w:r w:rsidRPr="004E17E1">
        <w:rPr>
          <w:szCs w:val="16"/>
        </w:rPr>
        <w:t>Capturing impacts of Leader and of measures to improve Quality of Life in rural areas (A Leader és a vidéki területek életminőségének javítására szánt intézkedések hatásának megállapítása), Európai Vidékfejlesztési Értékelési Hálózat, 2010</w:t>
      </w:r>
    </w:p>
  </w:footnote>
  <w:footnote w:id="126">
    <w:p w:rsidR="00170A1A" w:rsidRPr="004E17E1" w:rsidRDefault="00170A1A" w:rsidP="00C4370D">
      <w:pPr>
        <w:pStyle w:val="FootnoteText"/>
      </w:pPr>
      <w:r w:rsidRPr="004E17E1">
        <w:rPr>
          <w:rStyle w:val="FootnoteReference"/>
        </w:rPr>
        <w:footnoteRef/>
      </w:r>
      <w:r w:rsidRPr="004E17E1">
        <w:t xml:space="preserve"> A FAO társadalmi-gazdasági és nemek alapján történő elemzése (SEAGA) – </w:t>
      </w:r>
      <w:r w:rsidRPr="004E17E1">
        <w:rPr>
          <w:szCs w:val="16"/>
        </w:rPr>
        <w:t>http://www.fao.org/knowledge/goodpractices/bp-gender-equity-in-rural/bp-seaga/en/</w:t>
      </w:r>
    </w:p>
  </w:footnote>
  <w:footnote w:id="127">
    <w:p w:rsidR="00170A1A" w:rsidRPr="004E17E1" w:rsidRDefault="00170A1A" w:rsidP="00C4370D">
      <w:pPr>
        <w:pStyle w:val="FootnoteText"/>
      </w:pPr>
      <w:r w:rsidRPr="004E17E1">
        <w:rPr>
          <w:rStyle w:val="FootnoteReference"/>
        </w:rPr>
        <w:footnoteRef/>
      </w:r>
      <w:r w:rsidRPr="004E17E1">
        <w:t xml:space="preserve"> </w:t>
      </w:r>
      <w:r w:rsidRPr="004E17E1">
        <w:rPr>
          <w:szCs w:val="16"/>
        </w:rPr>
        <w:t>Enrique Mendizabal: Understanding networks: The functions of research policy networks (A hálózatok megértése: A kutatáspolitikai hálózatok funkciói), Overseas Development Institute, London, 2006</w:t>
      </w:r>
    </w:p>
  </w:footnote>
  <w:footnote w:id="128">
    <w:p w:rsidR="00170A1A" w:rsidRPr="004E17E1" w:rsidRDefault="00170A1A" w:rsidP="00C4370D">
      <w:pPr>
        <w:pStyle w:val="FootnoteText"/>
      </w:pPr>
      <w:r w:rsidRPr="004E17E1">
        <w:rPr>
          <w:rStyle w:val="FootnoteReference"/>
        </w:rPr>
        <w:footnoteRef/>
      </w:r>
      <w:r w:rsidRPr="004E17E1">
        <w:t xml:space="preserve"> </w:t>
      </w:r>
      <w:r w:rsidRPr="004E17E1">
        <w:rPr>
          <w:szCs w:val="16"/>
        </w:rPr>
        <w:t>Bauer-Wolf, S. et al., (2008), Erfolgreich durch Netzwerkkompetenz (Sikeresség hálózatok által biztosított hozzáértéssel), Springer-Verlag, Bécs</w:t>
      </w:r>
    </w:p>
  </w:footnote>
  <w:footnote w:id="129">
    <w:p w:rsidR="00170A1A" w:rsidRPr="00B571DC" w:rsidRDefault="00170A1A" w:rsidP="00C4370D">
      <w:pPr>
        <w:pStyle w:val="FootnoteText"/>
      </w:pPr>
      <w:r w:rsidRPr="004E17E1">
        <w:rPr>
          <w:rStyle w:val="FootnoteReference"/>
        </w:rPr>
        <w:footnoteRef/>
      </w:r>
      <w:r w:rsidRPr="004E17E1">
        <w:t xml:space="preserve"> </w:t>
      </w:r>
      <w:r w:rsidRPr="004E17E1">
        <w:rPr>
          <w:szCs w:val="16"/>
        </w:rPr>
        <w:t>Capturing impacts of Leader and of measures to improve Quality of Life in rural areas (A Leader és a vidéki területek életminőségének javítására szánt intézkedések hatásának megállapítása), Európai Vidékfejlesztési Értékelési Hálózat, 2010</w:t>
      </w:r>
    </w:p>
  </w:footnote>
  <w:footnote w:id="130">
    <w:p w:rsidR="00170A1A" w:rsidRPr="0003537C" w:rsidRDefault="00170A1A" w:rsidP="004071A4">
      <w:pPr>
        <w:pStyle w:val="FootnoteText"/>
        <w:rPr>
          <w:rFonts w:asciiTheme="minorHAnsi" w:hAnsiTheme="minorHAnsi"/>
          <w:lang w:val="sk-SK"/>
        </w:rPr>
      </w:pPr>
      <w:r>
        <w:rPr>
          <w:rStyle w:val="FootnoteReference"/>
        </w:rPr>
        <w:footnoteRef/>
      </w:r>
      <w:r>
        <w:t xml:space="preserve"> </w:t>
      </w:r>
      <w:r w:rsidRPr="00C0080B">
        <w:t>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Default="00170A1A"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Default="00170A1A" w:rsidP="003637C5">
    <w:pPr>
      <w:pStyle w:val="Header"/>
      <w:pBdr>
        <w:bottom w:val="none" w:sz="0" w:space="0" w:color="auto"/>
      </w:pBdr>
      <w:ind w:right="95"/>
      <w:jc w:val="right"/>
      <w:rPr>
        <w:rFonts w:cs="Arial"/>
      </w:rPr>
    </w:pPr>
    <w:r>
      <w:tab/>
      <w:t>Guidelines for the evaluation of National Rural Networks 2014-2020</w:t>
    </w:r>
  </w:p>
  <w:p w:rsidR="00170A1A" w:rsidRPr="007C19BE" w:rsidRDefault="00170A1A" w:rsidP="00F15219">
    <w:pPr>
      <w:pStyle w:val="Header"/>
      <w:pBdr>
        <w:bottom w:val="none" w:sz="0" w:space="0" w:color="auto"/>
      </w:pBdr>
      <w:rPr>
        <w:rFonts w:cs="Arial"/>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8A403B" w:rsidRDefault="00170A1A" w:rsidP="00F15219">
    <w:pPr>
      <w:pStyle w:val="Header"/>
      <w:pBdr>
        <w:bottom w:val="none" w:sz="0" w:space="0" w:color="auto"/>
      </w:pBdr>
      <w:rPr>
        <w:rFonts w:cs="Arial"/>
      </w:rPr>
    </w:pPr>
    <w:r>
      <w:tab/>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2C3379" w:rsidRDefault="00170A1A" w:rsidP="006A75AC">
    <w:pPr>
      <w:pStyle w:val="Header"/>
      <w:pBdr>
        <w:bottom w:val="none" w:sz="0" w:space="0" w:color="auto"/>
      </w:pBdr>
      <w:tabs>
        <w:tab w:val="clear" w:pos="8618"/>
        <w:tab w:val="right" w:pos="12869"/>
      </w:tabs>
    </w:pPr>
    <w:r>
      <w:tab/>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DD4A55" w:rsidRDefault="00170A1A" w:rsidP="00DD4A55">
    <w:pPr>
      <w:pStyle w:val="Header"/>
      <w:pBdr>
        <w:bottom w:val="none" w:sz="0" w:space="0" w:color="auto"/>
      </w:pBdr>
      <w:tabs>
        <w:tab w:val="clear" w:pos="8618"/>
        <w:tab w:val="right" w:pos="12869"/>
      </w:tabs>
      <w:ind w:left="0"/>
      <w:rPr>
        <w:rFonts w:cs="Arial"/>
      </w:rPr>
    </w:pPr>
    <w:r>
      <w:tab/>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Default="00170A1A" w:rsidP="003637C5">
    <w:pPr>
      <w:pStyle w:val="Header"/>
      <w:pBdr>
        <w:bottom w:val="none" w:sz="0" w:space="0" w:color="auto"/>
      </w:pBdr>
      <w:ind w:right="-46"/>
      <w:jc w:val="right"/>
      <w:rPr>
        <w:rFonts w:cs="Arial"/>
      </w:rPr>
    </w:pPr>
    <w:r>
      <w:tab/>
      <w:t>Guidelines for the evaluation of National Rural Networks 2014-2020</w:t>
    </w:r>
  </w:p>
  <w:p w:rsidR="00170A1A" w:rsidRDefault="00170A1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A1A" w:rsidRPr="00F93622" w:rsidRDefault="00170A1A" w:rsidP="00754C47">
    <w:pPr>
      <w:pStyle w:val="Header"/>
      <w:pBdr>
        <w:bottom w:val="none" w:sz="0" w:space="0" w:color="auto"/>
      </w:pBdr>
      <w:jc w:val="right"/>
    </w:pPr>
    <w:r>
      <w:tab/>
      <w:t>Guidelines for the evaluation of National Rural Networks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6B68" w:rsidRPr="00150D5B" w:rsidRDefault="00E04D8B"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6B68" w:rsidRPr="00150D5B" w:rsidRDefault="00E04D8B"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918E6E38"/>
    <w:lvl w:ilvl="0" w:tplc="EDCC2EA4">
      <w:start w:val="1"/>
      <w:numFmt w:val="decimal"/>
      <w:pStyle w:val="HHeadingfigures"/>
      <w:suff w:val="space"/>
      <w:lvlText w:val="Figure %1."/>
      <w:lvlJc w:val="left"/>
      <w:pPr>
        <w:ind w:left="710" w:firstLine="0"/>
      </w:pPr>
      <w:rPr>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23B2B4A4"/>
    <w:lvl w:ilvl="0" w:tplc="8EEC6D12">
      <w:start w:val="1"/>
      <w:numFmt w:val="decimal"/>
      <w:pStyle w:val="HHeadingtables"/>
      <w:suff w:val="space"/>
      <w:lvlText w:val="Table %1."/>
      <w:lvlJc w:val="left"/>
      <w:pPr>
        <w:ind w:left="993" w:firstLine="0"/>
      </w:pPr>
      <w:rPr>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FCB3B6D"/>
    <w:multiLevelType w:val="hybridMultilevel"/>
    <w:tmpl w:val="E77407A0"/>
    <w:lvl w:ilvl="0" w:tplc="6B9E12CE">
      <w:start w:val="3"/>
      <w:numFmt w:val="decimal"/>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34"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6" w15:restartNumberingAfterBreak="0">
    <w:nsid w:val="795D33E8"/>
    <w:multiLevelType w:val="hybridMultilevel"/>
    <w:tmpl w:val="D30C2226"/>
    <w:lvl w:ilvl="0" w:tplc="8802551E">
      <w:start w:val="1"/>
      <w:numFmt w:val="decimal"/>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37"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7"/>
  </w:num>
  <w:num w:numId="6">
    <w:abstractNumId w:val="35"/>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4"/>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 w:numId="39">
    <w:abstractNumId w:val="36"/>
  </w:num>
  <w:num w:numId="4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0A1A"/>
    <w:rsid w:val="00170A1A"/>
    <w:rsid w:val="00387226"/>
    <w:rsid w:val="007B323F"/>
    <w:rsid w:val="007F4DD3"/>
    <w:rsid w:val="00866B4D"/>
    <w:rsid w:val="008D05D4"/>
    <w:rsid w:val="00D85FF6"/>
    <w:rsid w:val="00E04D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330B2F-3658-43DA-9A9E-B06530ECC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70A1A"/>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hu-HU" w:eastAsia="de-DE"/>
    </w:rPr>
  </w:style>
  <w:style w:type="paragraph" w:styleId="Heading2">
    <w:name w:val="heading 2"/>
    <w:basedOn w:val="Normal"/>
    <w:next w:val="Normal"/>
    <w:link w:val="Heading2Char"/>
    <w:uiPriority w:val="9"/>
    <w:qFormat/>
    <w:rsid w:val="00170A1A"/>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hu-HU" w:eastAsia="de-DE"/>
    </w:rPr>
  </w:style>
  <w:style w:type="paragraph" w:styleId="Heading3">
    <w:name w:val="heading 3"/>
    <w:basedOn w:val="Normal"/>
    <w:next w:val="Normal"/>
    <w:link w:val="Heading3Char"/>
    <w:uiPriority w:val="9"/>
    <w:qFormat/>
    <w:rsid w:val="00170A1A"/>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hu-HU" w:eastAsia="de-DE"/>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170A1A"/>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hu-HU" w:eastAsia="de-DE"/>
    </w:rPr>
  </w:style>
  <w:style w:type="paragraph" w:styleId="Heading5">
    <w:name w:val="heading 5"/>
    <w:basedOn w:val="Normal"/>
    <w:next w:val="Normal"/>
    <w:link w:val="Heading5Char"/>
    <w:uiPriority w:val="9"/>
    <w:qFormat/>
    <w:rsid w:val="00170A1A"/>
    <w:pPr>
      <w:suppressAutoHyphens/>
      <w:spacing w:before="200" w:after="100" w:line="220" w:lineRule="atLeast"/>
      <w:outlineLvl w:val="4"/>
    </w:pPr>
    <w:rPr>
      <w:rFonts w:ascii="Arial" w:eastAsia="Times New Roman" w:hAnsi="Arial" w:cs="Times New Roman"/>
      <w:b/>
      <w:bCs/>
      <w:iCs/>
      <w:color w:val="5F5F5F"/>
      <w:sz w:val="18"/>
      <w:szCs w:val="26"/>
      <w:lang w:val="hu-HU" w:eastAsia="de-DE"/>
    </w:rPr>
  </w:style>
  <w:style w:type="paragraph" w:styleId="Heading6">
    <w:name w:val="heading 6"/>
    <w:basedOn w:val="Normal"/>
    <w:next w:val="Normal"/>
    <w:link w:val="Heading6Char"/>
    <w:uiPriority w:val="9"/>
    <w:qFormat/>
    <w:rsid w:val="00170A1A"/>
    <w:pPr>
      <w:suppressAutoHyphens/>
      <w:spacing w:before="140" w:after="140" w:line="200" w:lineRule="exact"/>
      <w:outlineLvl w:val="5"/>
    </w:pPr>
    <w:rPr>
      <w:rFonts w:ascii="Arial" w:eastAsia="Times New Roman" w:hAnsi="Arial" w:cs="Times New Roman"/>
      <w:b/>
      <w:bCs/>
      <w:color w:val="576C88" w:themeColor="text2" w:themeTint="D9"/>
      <w:sz w:val="20"/>
      <w:lang w:val="hu-HU" w:eastAsia="de-DE"/>
    </w:rPr>
  </w:style>
  <w:style w:type="paragraph" w:styleId="Heading7">
    <w:name w:val="heading 7"/>
    <w:basedOn w:val="Normal"/>
    <w:next w:val="Normal"/>
    <w:link w:val="Heading7Char"/>
    <w:uiPriority w:val="9"/>
    <w:qFormat/>
    <w:rsid w:val="00170A1A"/>
    <w:pPr>
      <w:suppressAutoHyphens/>
      <w:spacing w:before="140" w:after="140" w:line="200" w:lineRule="exact"/>
      <w:outlineLvl w:val="6"/>
    </w:pPr>
    <w:rPr>
      <w:rFonts w:ascii="Arial" w:eastAsia="Times New Roman" w:hAnsi="Arial" w:cs="Times New Roman"/>
      <w:b/>
      <w:color w:val="808080"/>
      <w:sz w:val="16"/>
      <w:szCs w:val="24"/>
      <w:lang w:val="hu-HU" w:eastAsia="de-DE"/>
    </w:rPr>
  </w:style>
  <w:style w:type="paragraph" w:styleId="Heading8">
    <w:name w:val="heading 8"/>
    <w:basedOn w:val="Normal"/>
    <w:next w:val="Normal"/>
    <w:link w:val="Heading8Char"/>
    <w:uiPriority w:val="9"/>
    <w:qFormat/>
    <w:rsid w:val="00170A1A"/>
    <w:pPr>
      <w:suppressAutoHyphens/>
      <w:spacing w:before="140" w:after="140" w:line="200" w:lineRule="exact"/>
      <w:outlineLvl w:val="7"/>
    </w:pPr>
    <w:rPr>
      <w:rFonts w:ascii="Arial" w:eastAsia="Times New Roman" w:hAnsi="Arial" w:cs="Times New Roman"/>
      <w:b/>
      <w:iCs/>
      <w:color w:val="808080"/>
      <w:sz w:val="16"/>
      <w:szCs w:val="24"/>
      <w:lang w:val="hu-HU" w:eastAsia="de-DE"/>
    </w:rPr>
  </w:style>
  <w:style w:type="paragraph" w:styleId="Heading9">
    <w:name w:val="heading 9"/>
    <w:basedOn w:val="Heading1"/>
    <w:next w:val="Normal"/>
    <w:link w:val="Heading9Char"/>
    <w:qFormat/>
    <w:rsid w:val="00170A1A"/>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0A1A"/>
    <w:rPr>
      <w:rFonts w:ascii="Arial" w:eastAsia="Times New Roman" w:hAnsi="Arial" w:cs="Arial"/>
      <w:b/>
      <w:bCs/>
      <w:kern w:val="32"/>
      <w:sz w:val="24"/>
      <w:szCs w:val="32"/>
      <w:lang w:val="hu-HU" w:eastAsia="de-DE"/>
    </w:rPr>
  </w:style>
  <w:style w:type="character" w:customStyle="1" w:styleId="Heading2Char">
    <w:name w:val="Heading 2 Char"/>
    <w:basedOn w:val="DefaultParagraphFont"/>
    <w:link w:val="Heading2"/>
    <w:uiPriority w:val="9"/>
    <w:rsid w:val="00170A1A"/>
    <w:rPr>
      <w:rFonts w:ascii="Arial" w:eastAsia="Times New Roman" w:hAnsi="Arial" w:cs="Arial"/>
      <w:b/>
      <w:bCs/>
      <w:iCs/>
      <w:szCs w:val="28"/>
      <w:lang w:val="hu-HU" w:eastAsia="de-DE"/>
    </w:rPr>
  </w:style>
  <w:style w:type="character" w:customStyle="1" w:styleId="Heading3Char">
    <w:name w:val="Heading 3 Char"/>
    <w:basedOn w:val="DefaultParagraphFont"/>
    <w:link w:val="Heading3"/>
    <w:uiPriority w:val="9"/>
    <w:rsid w:val="00170A1A"/>
    <w:rPr>
      <w:rFonts w:ascii="Arial" w:eastAsia="Times New Roman" w:hAnsi="Arial" w:cs="Arial"/>
      <w:b/>
      <w:bCs/>
      <w:color w:val="5F5F5F"/>
      <w:sz w:val="20"/>
      <w:szCs w:val="26"/>
      <w:lang w:val="hu-HU" w:eastAsia="de-DE"/>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170A1A"/>
    <w:rPr>
      <w:rFonts w:ascii="Arial" w:eastAsia="Times New Roman" w:hAnsi="Arial" w:cs="Times New Roman"/>
      <w:b/>
      <w:bCs/>
      <w:color w:val="5F5F5F"/>
      <w:sz w:val="18"/>
      <w:szCs w:val="28"/>
      <w:lang w:val="hu-HU" w:eastAsia="de-DE"/>
    </w:rPr>
  </w:style>
  <w:style w:type="character" w:customStyle="1" w:styleId="Heading5Char">
    <w:name w:val="Heading 5 Char"/>
    <w:basedOn w:val="DefaultParagraphFont"/>
    <w:link w:val="Heading5"/>
    <w:rsid w:val="00170A1A"/>
    <w:rPr>
      <w:rFonts w:ascii="Arial" w:eastAsia="Times New Roman" w:hAnsi="Arial" w:cs="Times New Roman"/>
      <w:b/>
      <w:bCs/>
      <w:iCs/>
      <w:color w:val="5F5F5F"/>
      <w:sz w:val="18"/>
      <w:szCs w:val="26"/>
      <w:lang w:val="hu-HU" w:eastAsia="de-DE"/>
    </w:rPr>
  </w:style>
  <w:style w:type="character" w:customStyle="1" w:styleId="Heading6Char">
    <w:name w:val="Heading 6 Char"/>
    <w:basedOn w:val="DefaultParagraphFont"/>
    <w:link w:val="Heading6"/>
    <w:uiPriority w:val="9"/>
    <w:rsid w:val="00170A1A"/>
    <w:rPr>
      <w:rFonts w:ascii="Arial" w:eastAsia="Times New Roman" w:hAnsi="Arial" w:cs="Times New Roman"/>
      <w:b/>
      <w:bCs/>
      <w:color w:val="576C88" w:themeColor="text2" w:themeTint="D9"/>
      <w:sz w:val="20"/>
      <w:lang w:val="hu-HU" w:eastAsia="de-DE"/>
    </w:rPr>
  </w:style>
  <w:style w:type="character" w:customStyle="1" w:styleId="Heading7Char">
    <w:name w:val="Heading 7 Char"/>
    <w:basedOn w:val="DefaultParagraphFont"/>
    <w:link w:val="Heading7"/>
    <w:rsid w:val="00170A1A"/>
    <w:rPr>
      <w:rFonts w:ascii="Arial" w:eastAsia="Times New Roman" w:hAnsi="Arial" w:cs="Times New Roman"/>
      <w:b/>
      <w:color w:val="808080"/>
      <w:sz w:val="16"/>
      <w:szCs w:val="24"/>
      <w:lang w:val="hu-HU" w:eastAsia="de-DE"/>
    </w:rPr>
  </w:style>
  <w:style w:type="character" w:customStyle="1" w:styleId="Heading8Char">
    <w:name w:val="Heading 8 Char"/>
    <w:basedOn w:val="DefaultParagraphFont"/>
    <w:link w:val="Heading8"/>
    <w:rsid w:val="00170A1A"/>
    <w:rPr>
      <w:rFonts w:ascii="Arial" w:eastAsia="Times New Roman" w:hAnsi="Arial" w:cs="Times New Roman"/>
      <w:b/>
      <w:iCs/>
      <w:color w:val="808080"/>
      <w:sz w:val="16"/>
      <w:szCs w:val="24"/>
      <w:lang w:val="hu-HU" w:eastAsia="de-DE"/>
    </w:rPr>
  </w:style>
  <w:style w:type="character" w:customStyle="1" w:styleId="Heading9Char">
    <w:name w:val="Heading 9 Char"/>
    <w:basedOn w:val="DefaultParagraphFont"/>
    <w:link w:val="Heading9"/>
    <w:rsid w:val="00170A1A"/>
    <w:rPr>
      <w:rFonts w:ascii="Arial" w:eastAsia="Times New Roman" w:hAnsi="Arial" w:cs="Arial"/>
      <w:b/>
      <w:bCs/>
      <w:kern w:val="32"/>
      <w:sz w:val="24"/>
      <w:lang w:val="hu-HU" w:eastAsia="de-DE"/>
    </w:rPr>
  </w:style>
  <w:style w:type="paragraph" w:styleId="TOC2">
    <w:name w:val="toc 2"/>
    <w:next w:val="Normal"/>
    <w:uiPriority w:val="39"/>
    <w:rsid w:val="00170A1A"/>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hu-HU" w:eastAsia="de-DE"/>
    </w:rPr>
  </w:style>
  <w:style w:type="paragraph" w:styleId="Header">
    <w:name w:val="header"/>
    <w:link w:val="HeaderChar"/>
    <w:uiPriority w:val="99"/>
    <w:rsid w:val="00170A1A"/>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hu-HU" w:eastAsia="de-DE"/>
    </w:rPr>
  </w:style>
  <w:style w:type="character" w:customStyle="1" w:styleId="HeaderChar">
    <w:name w:val="Header Char"/>
    <w:basedOn w:val="DefaultParagraphFont"/>
    <w:link w:val="Header"/>
    <w:uiPriority w:val="99"/>
    <w:rsid w:val="00170A1A"/>
    <w:rPr>
      <w:rFonts w:ascii="Arial" w:eastAsia="Times New Roman" w:hAnsi="Arial" w:cs="Times New Roman"/>
      <w:color w:val="F07E31"/>
      <w:sz w:val="16"/>
      <w:szCs w:val="20"/>
      <w:lang w:val="hu-HU" w:eastAsia="de-DE"/>
    </w:rPr>
  </w:style>
  <w:style w:type="paragraph" w:styleId="Footer">
    <w:name w:val="footer"/>
    <w:link w:val="FooterChar"/>
    <w:uiPriority w:val="99"/>
    <w:rsid w:val="00170A1A"/>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hu-HU" w:eastAsia="de-DE"/>
    </w:rPr>
  </w:style>
  <w:style w:type="character" w:customStyle="1" w:styleId="FooterChar">
    <w:name w:val="Footer Char"/>
    <w:basedOn w:val="DefaultParagraphFont"/>
    <w:link w:val="Footer"/>
    <w:uiPriority w:val="99"/>
    <w:rsid w:val="00170A1A"/>
    <w:rPr>
      <w:rFonts w:ascii="Helvetica LT Pro Light" w:eastAsia="Times New Roman" w:hAnsi="Helvetica LT Pro Light" w:cs="Times New Roman"/>
      <w:color w:val="808080"/>
      <w:sz w:val="18"/>
      <w:szCs w:val="20"/>
      <w:lang w:val="hu-HU" w:eastAsia="de-DE"/>
    </w:rPr>
  </w:style>
  <w:style w:type="character" w:styleId="PageNumber">
    <w:name w:val="page number"/>
    <w:basedOn w:val="DefaultParagraphFont"/>
    <w:semiHidden/>
    <w:rsid w:val="00170A1A"/>
    <w:rPr>
      <w:rFonts w:ascii="Arial" w:hAnsi="Arial"/>
      <w:color w:val="808080"/>
      <w:sz w:val="18"/>
    </w:rPr>
  </w:style>
  <w:style w:type="paragraph" w:customStyle="1" w:styleId="HTitle2">
    <w:name w:val="H_Title2"/>
    <w:basedOn w:val="Normal"/>
    <w:qFormat/>
    <w:rsid w:val="00170A1A"/>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hu-HU" w:eastAsia="de-DE"/>
    </w:rPr>
  </w:style>
  <w:style w:type="paragraph" w:customStyle="1" w:styleId="Hlistbullet">
    <w:name w:val="H_list_bullet"/>
    <w:rsid w:val="00170A1A"/>
    <w:pPr>
      <w:numPr>
        <w:numId w:val="2"/>
      </w:numPr>
      <w:spacing w:before="60" w:after="0" w:line="220" w:lineRule="atLeast"/>
      <w:jc w:val="both"/>
    </w:pPr>
    <w:rPr>
      <w:rFonts w:ascii="Arial" w:eastAsia="Times New Roman" w:hAnsi="Arial" w:cs="Arial"/>
      <w:color w:val="576C88" w:themeColor="text2" w:themeTint="D9"/>
      <w:sz w:val="20"/>
      <w:szCs w:val="20"/>
      <w:lang w:val="hu-HU" w:eastAsia="de-DE"/>
    </w:rPr>
  </w:style>
  <w:style w:type="paragraph" w:customStyle="1" w:styleId="Hlistbullet2">
    <w:name w:val="H_list_bullet2"/>
    <w:basedOn w:val="Hlistbullet"/>
    <w:next w:val="HStandard"/>
    <w:rsid w:val="00170A1A"/>
    <w:pPr>
      <w:spacing w:after="140"/>
    </w:pPr>
  </w:style>
  <w:style w:type="paragraph" w:customStyle="1" w:styleId="Hlistabc">
    <w:name w:val="H_list_abc"/>
    <w:rsid w:val="00170A1A"/>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hu-HU" w:eastAsia="de-DE"/>
    </w:rPr>
  </w:style>
  <w:style w:type="paragraph" w:customStyle="1" w:styleId="Hlistabc2">
    <w:name w:val="H_list_abc_2"/>
    <w:basedOn w:val="Hlistabc"/>
    <w:next w:val="HStandard"/>
    <w:rsid w:val="00170A1A"/>
    <w:pPr>
      <w:spacing w:after="140"/>
    </w:pPr>
    <w:rPr>
      <w:color w:val="576C88" w:themeColor="text2" w:themeTint="D9"/>
    </w:rPr>
  </w:style>
  <w:style w:type="paragraph" w:customStyle="1" w:styleId="HTitle1">
    <w:name w:val="H_Title1"/>
    <w:basedOn w:val="Normal"/>
    <w:rsid w:val="00170A1A"/>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hu-HU" w:eastAsia="de-DE"/>
    </w:rPr>
  </w:style>
  <w:style w:type="paragraph" w:customStyle="1" w:styleId="Autor">
    <w:name w:val="Autor"/>
    <w:basedOn w:val="Normal"/>
    <w:rsid w:val="00170A1A"/>
    <w:pPr>
      <w:spacing w:after="0" w:line="280" w:lineRule="exact"/>
    </w:pPr>
    <w:rPr>
      <w:rFonts w:ascii="Arial" w:eastAsia="Times New Roman" w:hAnsi="Arial" w:cs="Times New Roman"/>
      <w:sz w:val="20"/>
      <w:szCs w:val="24"/>
      <w:lang w:val="hu-HU" w:eastAsia="de-DE"/>
    </w:rPr>
  </w:style>
  <w:style w:type="paragraph" w:customStyle="1" w:styleId="HTitle3">
    <w:name w:val="H_Title3"/>
    <w:basedOn w:val="Autor"/>
    <w:rsid w:val="00170A1A"/>
    <w:rPr>
      <w:rFonts w:ascii="Helvetica LT Pro Light" w:hAnsi="Helvetica LT Pro Light"/>
      <w:b/>
      <w:color w:val="6F6F6F"/>
      <w:sz w:val="28"/>
    </w:rPr>
  </w:style>
  <w:style w:type="paragraph" w:styleId="TOC1">
    <w:name w:val="toc 1"/>
    <w:next w:val="Normal"/>
    <w:uiPriority w:val="39"/>
    <w:rsid w:val="00170A1A"/>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hu-HU" w:eastAsia="de-DE"/>
    </w:rPr>
  </w:style>
  <w:style w:type="paragraph" w:styleId="TOC3">
    <w:name w:val="toc 3"/>
    <w:next w:val="Normal"/>
    <w:uiPriority w:val="39"/>
    <w:rsid w:val="00170A1A"/>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hu-HU" w:eastAsia="de-DE"/>
    </w:rPr>
  </w:style>
  <w:style w:type="paragraph" w:customStyle="1" w:styleId="Fuzeilequerformat">
    <w:name w:val="Fußzeile_querformat"/>
    <w:basedOn w:val="Footer"/>
    <w:rsid w:val="00170A1A"/>
    <w:pPr>
      <w:tabs>
        <w:tab w:val="clear" w:pos="8618"/>
        <w:tab w:val="right" w:pos="12871"/>
      </w:tabs>
    </w:pPr>
  </w:style>
  <w:style w:type="paragraph" w:styleId="TableofFigures">
    <w:name w:val="table of figures"/>
    <w:next w:val="HStandard"/>
    <w:uiPriority w:val="99"/>
    <w:rsid w:val="00170A1A"/>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hu-HU" w:eastAsia="de-DE"/>
    </w:rPr>
  </w:style>
  <w:style w:type="paragraph" w:customStyle="1" w:styleId="Hlistline3">
    <w:name w:val="H_list_line3"/>
    <w:rsid w:val="00170A1A"/>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hu-HU" w:eastAsia="de-DE"/>
    </w:rPr>
  </w:style>
  <w:style w:type="paragraph" w:customStyle="1" w:styleId="Hlistline4">
    <w:name w:val="H_list_line4"/>
    <w:basedOn w:val="Hlistline3"/>
    <w:next w:val="HStandard"/>
    <w:rsid w:val="00170A1A"/>
    <w:pPr>
      <w:spacing w:after="140"/>
    </w:pPr>
  </w:style>
  <w:style w:type="paragraph" w:customStyle="1" w:styleId="HSource">
    <w:name w:val="H_Source"/>
    <w:next w:val="HStandard"/>
    <w:rsid w:val="00170A1A"/>
    <w:pPr>
      <w:suppressAutoHyphens/>
      <w:spacing w:before="60" w:after="140" w:line="240" w:lineRule="auto"/>
      <w:jc w:val="center"/>
    </w:pPr>
    <w:rPr>
      <w:rFonts w:ascii="Arial" w:eastAsia="Times New Roman" w:hAnsi="Arial" w:cs="Times New Roman"/>
      <w:color w:val="576C88" w:themeColor="text2" w:themeTint="D9"/>
      <w:sz w:val="16"/>
      <w:szCs w:val="20"/>
      <w:lang w:val="hu-HU" w:eastAsia="de-DE"/>
    </w:rPr>
  </w:style>
  <w:style w:type="paragraph" w:customStyle="1" w:styleId="Htableleft">
    <w:name w:val="H_table_left"/>
    <w:rsid w:val="00170A1A"/>
    <w:pPr>
      <w:suppressAutoHyphens/>
      <w:spacing w:before="40" w:after="40" w:line="240" w:lineRule="auto"/>
    </w:pPr>
    <w:rPr>
      <w:rFonts w:ascii="Arial" w:eastAsia="Times New Roman" w:hAnsi="Arial" w:cs="Times New Roman"/>
      <w:color w:val="262626"/>
      <w:sz w:val="18"/>
      <w:szCs w:val="20"/>
      <w:lang w:val="hu-HU" w:eastAsia="de-DE"/>
    </w:rPr>
  </w:style>
  <w:style w:type="paragraph" w:customStyle="1" w:styleId="Htablecentered">
    <w:name w:val="H_table_centered"/>
    <w:basedOn w:val="Htableleft"/>
    <w:rsid w:val="00170A1A"/>
    <w:pPr>
      <w:jc w:val="center"/>
    </w:pPr>
  </w:style>
  <w:style w:type="paragraph" w:customStyle="1" w:styleId="Htableleftbolt">
    <w:name w:val="H_table_left_bolt"/>
    <w:basedOn w:val="Htableleft"/>
    <w:rsid w:val="00170A1A"/>
    <w:rPr>
      <w:b/>
      <w:color w:val="576C88" w:themeColor="text2" w:themeTint="D9"/>
      <w:sz w:val="16"/>
    </w:rPr>
  </w:style>
  <w:style w:type="paragraph" w:customStyle="1" w:styleId="Htablecenteredbolt">
    <w:name w:val="H_table_centered_bolt"/>
    <w:basedOn w:val="Htablecentered"/>
    <w:rsid w:val="00170A1A"/>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170A1A"/>
    <w:pPr>
      <w:tabs>
        <w:tab w:val="left" w:pos="170"/>
      </w:tabs>
      <w:spacing w:after="0" w:line="180" w:lineRule="exact"/>
      <w:ind w:left="170" w:hanging="170"/>
    </w:pPr>
    <w:rPr>
      <w:rFonts w:ascii="Arial" w:eastAsia="Times New Roman" w:hAnsi="Arial" w:cs="Times New Roman"/>
      <w:color w:val="808080"/>
      <w:sz w:val="16"/>
      <w:szCs w:val="20"/>
      <w:lang w:val="hu-HU" w:eastAsia="de-DE"/>
    </w:rPr>
  </w:style>
  <w:style w:type="character" w:customStyle="1" w:styleId="FootnoteTextChar">
    <w:name w:val="Footnote Text Char"/>
    <w:basedOn w:val="DefaultParagraphFont"/>
    <w:uiPriority w:val="99"/>
    <w:rsid w:val="00170A1A"/>
    <w:rPr>
      <w:sz w:val="20"/>
      <w:szCs w:val="20"/>
    </w:rPr>
  </w:style>
  <w:style w:type="paragraph" w:customStyle="1" w:styleId="Htablebullet">
    <w:name w:val="H_table_bullet"/>
    <w:basedOn w:val="Htableleft"/>
    <w:rsid w:val="00170A1A"/>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170A1A"/>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170A1A"/>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170A1A"/>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hu-HU" w:eastAsia="de-DE"/>
    </w:rPr>
  </w:style>
  <w:style w:type="paragraph" w:customStyle="1" w:styleId="HHeading2">
    <w:name w:val="H_Heading 2"/>
    <w:next w:val="HStandard"/>
    <w:rsid w:val="00170A1A"/>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hu-HU" w:eastAsia="de-DE"/>
    </w:rPr>
  </w:style>
  <w:style w:type="paragraph" w:customStyle="1" w:styleId="HHeading3">
    <w:name w:val="H_Heading 3"/>
    <w:next w:val="HStandard"/>
    <w:rsid w:val="00170A1A"/>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hu-HU" w:eastAsia="de-DE"/>
    </w:rPr>
  </w:style>
  <w:style w:type="paragraph" w:customStyle="1" w:styleId="HHeading4">
    <w:name w:val="H_Heading 4"/>
    <w:next w:val="HStandard"/>
    <w:rsid w:val="00170A1A"/>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hu-HU" w:eastAsia="de-DE"/>
    </w:rPr>
  </w:style>
  <w:style w:type="paragraph" w:customStyle="1" w:styleId="HHeading5">
    <w:name w:val="H_Heading 5"/>
    <w:next w:val="HStandard"/>
    <w:rsid w:val="00170A1A"/>
    <w:pPr>
      <w:keepNext/>
      <w:keepLines/>
      <w:spacing w:before="200" w:after="100" w:line="240" w:lineRule="auto"/>
      <w:outlineLvl w:val="4"/>
    </w:pPr>
    <w:rPr>
      <w:rFonts w:ascii="Arial" w:eastAsia="Times New Roman" w:hAnsi="Arial" w:cs="Arial"/>
      <w:b/>
      <w:color w:val="57825E"/>
      <w:sz w:val="20"/>
      <w:szCs w:val="20"/>
      <w:lang w:val="hu-HU" w:eastAsia="de-DE"/>
    </w:rPr>
  </w:style>
  <w:style w:type="paragraph" w:customStyle="1" w:styleId="HHeading9">
    <w:name w:val="H_Heading 9"/>
    <w:basedOn w:val="HHeading1"/>
    <w:next w:val="HStandard"/>
    <w:rsid w:val="00170A1A"/>
    <w:pPr>
      <w:numPr>
        <w:numId w:val="0"/>
      </w:numPr>
    </w:pPr>
    <w:rPr>
      <w:noProof/>
    </w:rPr>
  </w:style>
  <w:style w:type="character" w:styleId="Hyperlink">
    <w:name w:val="Hyperlink"/>
    <w:basedOn w:val="DefaultParagraphFont"/>
    <w:uiPriority w:val="99"/>
    <w:rsid w:val="00170A1A"/>
    <w:rPr>
      <w:color w:val="E7E6E6" w:themeColor="background2"/>
      <w:u w:val="single"/>
    </w:rPr>
  </w:style>
  <w:style w:type="paragraph" w:customStyle="1" w:styleId="HStandard">
    <w:name w:val="H_Standard"/>
    <w:rsid w:val="00170A1A"/>
    <w:pPr>
      <w:spacing w:after="120" w:line="280" w:lineRule="atLeast"/>
      <w:jc w:val="both"/>
    </w:pPr>
    <w:rPr>
      <w:rFonts w:ascii="Arial" w:eastAsia="Times New Roman" w:hAnsi="Arial" w:cs="Arial"/>
      <w:color w:val="576C88" w:themeColor="text2" w:themeTint="D9"/>
      <w:sz w:val="20"/>
      <w:szCs w:val="20"/>
      <w:lang w:val="hu-HU" w:eastAsia="de-DE"/>
    </w:rPr>
  </w:style>
  <w:style w:type="paragraph" w:styleId="DocumentMap">
    <w:name w:val="Document Map"/>
    <w:basedOn w:val="Normal"/>
    <w:link w:val="DocumentMapChar"/>
    <w:semiHidden/>
    <w:rsid w:val="00170A1A"/>
    <w:pPr>
      <w:shd w:val="clear" w:color="auto" w:fill="000080"/>
      <w:spacing w:before="60" w:after="140" w:line="220" w:lineRule="atLeast"/>
      <w:jc w:val="both"/>
    </w:pPr>
    <w:rPr>
      <w:rFonts w:ascii="Tahoma" w:eastAsia="Times New Roman" w:hAnsi="Tahoma" w:cs="Tahoma"/>
      <w:sz w:val="18"/>
      <w:szCs w:val="24"/>
      <w:lang w:val="hu-HU" w:eastAsia="de-DE"/>
    </w:rPr>
  </w:style>
  <w:style w:type="character" w:customStyle="1" w:styleId="DocumentMapChar">
    <w:name w:val="Document Map Char"/>
    <w:basedOn w:val="DefaultParagraphFont"/>
    <w:link w:val="DocumentMap"/>
    <w:semiHidden/>
    <w:rsid w:val="00170A1A"/>
    <w:rPr>
      <w:rFonts w:ascii="Tahoma" w:eastAsia="Times New Roman" w:hAnsi="Tahoma" w:cs="Tahoma"/>
      <w:sz w:val="18"/>
      <w:szCs w:val="24"/>
      <w:shd w:val="clear" w:color="auto" w:fill="000080"/>
      <w:lang w:val="hu-HU" w:eastAsia="de-DE"/>
    </w:rPr>
  </w:style>
  <w:style w:type="paragraph" w:styleId="BalloonText">
    <w:name w:val="Balloon Text"/>
    <w:basedOn w:val="Normal"/>
    <w:link w:val="BalloonTextChar"/>
    <w:uiPriority w:val="99"/>
    <w:semiHidden/>
    <w:unhideWhenUsed/>
    <w:rsid w:val="00170A1A"/>
    <w:pPr>
      <w:spacing w:after="0" w:line="240" w:lineRule="auto"/>
      <w:jc w:val="both"/>
    </w:pPr>
    <w:rPr>
      <w:rFonts w:ascii="Tahoma" w:eastAsia="Times New Roman" w:hAnsi="Tahoma" w:cs="Tahoma"/>
      <w:sz w:val="16"/>
      <w:szCs w:val="16"/>
      <w:lang w:val="hu-HU" w:eastAsia="de-DE"/>
    </w:rPr>
  </w:style>
  <w:style w:type="character" w:customStyle="1" w:styleId="BalloonTextChar">
    <w:name w:val="Balloon Text Char"/>
    <w:basedOn w:val="DefaultParagraphFont"/>
    <w:link w:val="BalloonText"/>
    <w:uiPriority w:val="99"/>
    <w:semiHidden/>
    <w:rsid w:val="00170A1A"/>
    <w:rPr>
      <w:rFonts w:ascii="Tahoma" w:eastAsia="Times New Roman" w:hAnsi="Tahoma" w:cs="Tahoma"/>
      <w:sz w:val="16"/>
      <w:szCs w:val="16"/>
      <w:lang w:val="hu-HU" w:eastAsia="de-DE"/>
    </w:rPr>
  </w:style>
  <w:style w:type="table" w:styleId="TableGrid">
    <w:name w:val="Table Grid"/>
    <w:basedOn w:val="TableNormal"/>
    <w:uiPriority w:val="59"/>
    <w:rsid w:val="00170A1A"/>
    <w:pPr>
      <w:spacing w:after="0" w:line="240" w:lineRule="auto"/>
    </w:pPr>
    <w:rPr>
      <w:rFonts w:ascii="Times New Roman" w:eastAsia="Times New Roman" w:hAnsi="Times New Roman" w:cs="Times New Roman"/>
      <w:sz w:val="20"/>
      <w:szCs w:val="20"/>
      <w:lang w:val="hu-HU"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170A1A"/>
    <w:pPr>
      <w:numPr>
        <w:numId w:val="7"/>
      </w:numPr>
      <w:spacing w:before="200" w:after="140" w:line="240" w:lineRule="auto"/>
      <w:ind w:left="0"/>
    </w:pPr>
    <w:rPr>
      <w:rFonts w:ascii="Arial" w:eastAsia="Times New Roman" w:hAnsi="Arial" w:cs="Arial"/>
      <w:b/>
      <w:color w:val="576C88" w:themeColor="text2" w:themeTint="D9"/>
      <w:sz w:val="16"/>
      <w:szCs w:val="20"/>
      <w:lang w:val="hu-HU" w:eastAsia="de-DE"/>
    </w:rPr>
  </w:style>
  <w:style w:type="paragraph" w:customStyle="1" w:styleId="HHeadingfigures">
    <w:name w:val="H_Heading_figures"/>
    <w:basedOn w:val="HHeadingtables"/>
    <w:next w:val="HStandard"/>
    <w:qFormat/>
    <w:rsid w:val="00170A1A"/>
    <w:pPr>
      <w:numPr>
        <w:numId w:val="8"/>
      </w:numPr>
      <w:ind w:left="0"/>
    </w:pPr>
  </w:style>
  <w:style w:type="paragraph" w:customStyle="1" w:styleId="HHeadingmaps">
    <w:name w:val="H_Heading_maps"/>
    <w:basedOn w:val="HHeadingtables"/>
    <w:next w:val="HStandard"/>
    <w:qFormat/>
    <w:rsid w:val="00170A1A"/>
    <w:pPr>
      <w:keepNext/>
      <w:keepLines/>
      <w:numPr>
        <w:numId w:val="9"/>
      </w:numPr>
      <w:outlineLvl w:val="5"/>
    </w:pPr>
    <w:rPr>
      <w:b w:val="0"/>
    </w:rPr>
  </w:style>
  <w:style w:type="paragraph" w:customStyle="1" w:styleId="HHeadingboxes">
    <w:name w:val="H_Heading_boxes"/>
    <w:basedOn w:val="HHeadingtables"/>
    <w:next w:val="HStandard"/>
    <w:qFormat/>
    <w:rsid w:val="00170A1A"/>
    <w:pPr>
      <w:numPr>
        <w:numId w:val="10"/>
      </w:numPr>
    </w:pPr>
  </w:style>
  <w:style w:type="paragraph" w:customStyle="1" w:styleId="HBox">
    <w:name w:val="H_Box"/>
    <w:next w:val="HStandard"/>
    <w:qFormat/>
    <w:rsid w:val="00170A1A"/>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hu-HU" w:eastAsia="de-DE"/>
    </w:rPr>
  </w:style>
  <w:style w:type="paragraph" w:customStyle="1" w:styleId="HBoxbullet">
    <w:name w:val="H_Box_bullet"/>
    <w:next w:val="HStandard"/>
    <w:qFormat/>
    <w:rsid w:val="00170A1A"/>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hu-HU" w:eastAsia="de-DE"/>
    </w:rPr>
  </w:style>
  <w:style w:type="paragraph" w:customStyle="1" w:styleId="Hdisclaimer">
    <w:name w:val="H_disclaimer"/>
    <w:qFormat/>
    <w:rsid w:val="00170A1A"/>
    <w:pPr>
      <w:spacing w:after="120" w:line="280" w:lineRule="atLeast"/>
      <w:jc w:val="both"/>
    </w:pPr>
    <w:rPr>
      <w:rFonts w:ascii="Helvetica LT Pro Light" w:eastAsia="Times New Roman" w:hAnsi="Helvetica LT Pro Light" w:cs="Arial"/>
      <w:color w:val="6F6F6F"/>
      <w:sz w:val="18"/>
      <w:szCs w:val="18"/>
      <w:lang w:val="hu-HU" w:eastAsia="de-DE"/>
    </w:rPr>
  </w:style>
  <w:style w:type="paragraph" w:styleId="EndnoteText">
    <w:name w:val="endnote text"/>
    <w:basedOn w:val="Normal"/>
    <w:link w:val="EndnoteTextChar"/>
    <w:uiPriority w:val="99"/>
    <w:semiHidden/>
    <w:unhideWhenUsed/>
    <w:rsid w:val="00170A1A"/>
    <w:pPr>
      <w:spacing w:after="0" w:line="240" w:lineRule="auto"/>
      <w:jc w:val="both"/>
    </w:pPr>
    <w:rPr>
      <w:rFonts w:ascii="Arial" w:eastAsia="Times New Roman" w:hAnsi="Arial" w:cs="Times New Roman"/>
      <w:sz w:val="20"/>
      <w:szCs w:val="20"/>
      <w:lang w:val="hu-HU" w:eastAsia="de-DE"/>
    </w:rPr>
  </w:style>
  <w:style w:type="character" w:customStyle="1" w:styleId="EndnoteTextChar">
    <w:name w:val="Endnote Text Char"/>
    <w:basedOn w:val="DefaultParagraphFont"/>
    <w:link w:val="EndnoteText"/>
    <w:uiPriority w:val="99"/>
    <w:semiHidden/>
    <w:rsid w:val="00170A1A"/>
    <w:rPr>
      <w:rFonts w:ascii="Arial" w:eastAsia="Times New Roman" w:hAnsi="Arial" w:cs="Times New Roman"/>
      <w:sz w:val="20"/>
      <w:szCs w:val="20"/>
      <w:lang w:val="hu-HU" w:eastAsia="de-DE"/>
    </w:rPr>
  </w:style>
  <w:style w:type="character" w:styleId="EndnoteReference">
    <w:name w:val="endnote reference"/>
    <w:basedOn w:val="DefaultParagraphFont"/>
    <w:uiPriority w:val="99"/>
    <w:semiHidden/>
    <w:unhideWhenUsed/>
    <w:rsid w:val="00170A1A"/>
    <w:rPr>
      <w:vertAlign w:val="superscript"/>
    </w:rPr>
  </w:style>
  <w:style w:type="character" w:styleId="CommentReference">
    <w:name w:val="annotation reference"/>
    <w:basedOn w:val="DefaultParagraphFont"/>
    <w:uiPriority w:val="99"/>
    <w:unhideWhenUsed/>
    <w:rsid w:val="00170A1A"/>
    <w:rPr>
      <w:sz w:val="16"/>
      <w:szCs w:val="16"/>
    </w:rPr>
  </w:style>
  <w:style w:type="paragraph" w:styleId="CommentText">
    <w:name w:val="annotation text"/>
    <w:basedOn w:val="Normal"/>
    <w:link w:val="CommentTextChar"/>
    <w:uiPriority w:val="99"/>
    <w:unhideWhenUsed/>
    <w:rsid w:val="00170A1A"/>
    <w:pPr>
      <w:spacing w:before="60" w:after="140" w:line="240" w:lineRule="auto"/>
      <w:jc w:val="both"/>
    </w:pPr>
    <w:rPr>
      <w:rFonts w:ascii="Arial" w:eastAsia="Times New Roman" w:hAnsi="Arial" w:cs="Times New Roman"/>
      <w:sz w:val="20"/>
      <w:szCs w:val="20"/>
      <w:lang w:val="hu-HU" w:eastAsia="de-DE"/>
    </w:rPr>
  </w:style>
  <w:style w:type="character" w:customStyle="1" w:styleId="CommentTextChar">
    <w:name w:val="Comment Text Char"/>
    <w:basedOn w:val="DefaultParagraphFont"/>
    <w:link w:val="CommentText"/>
    <w:uiPriority w:val="99"/>
    <w:rsid w:val="00170A1A"/>
    <w:rPr>
      <w:rFonts w:ascii="Arial" w:eastAsia="Times New Roman" w:hAnsi="Arial" w:cs="Times New Roman"/>
      <w:sz w:val="20"/>
      <w:szCs w:val="20"/>
      <w:lang w:val="hu-HU" w:eastAsia="de-DE"/>
    </w:rPr>
  </w:style>
  <w:style w:type="paragraph" w:styleId="CommentSubject">
    <w:name w:val="annotation subject"/>
    <w:basedOn w:val="CommentText"/>
    <w:next w:val="CommentText"/>
    <w:link w:val="CommentSubjectChar"/>
    <w:uiPriority w:val="99"/>
    <w:semiHidden/>
    <w:unhideWhenUsed/>
    <w:rsid w:val="00170A1A"/>
    <w:rPr>
      <w:b/>
      <w:bCs/>
    </w:rPr>
  </w:style>
  <w:style w:type="character" w:customStyle="1" w:styleId="CommentSubjectChar">
    <w:name w:val="Comment Subject Char"/>
    <w:basedOn w:val="CommentTextChar"/>
    <w:link w:val="CommentSubject"/>
    <w:uiPriority w:val="99"/>
    <w:semiHidden/>
    <w:rsid w:val="00170A1A"/>
    <w:rPr>
      <w:rFonts w:ascii="Arial" w:eastAsia="Times New Roman" w:hAnsi="Arial" w:cs="Times New Roman"/>
      <w:b/>
      <w:bCs/>
      <w:sz w:val="20"/>
      <w:szCs w:val="20"/>
      <w:lang w:val="hu-HU" w:eastAsia="de-DE"/>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170A1A"/>
    <w:rPr>
      <w:rFonts w:ascii="Arial" w:eastAsia="Times New Roman" w:hAnsi="Arial" w:cs="Times New Roman"/>
      <w:color w:val="808080"/>
      <w:sz w:val="16"/>
      <w:szCs w:val="20"/>
      <w:lang w:val="hu-HU" w:eastAsia="de-DE"/>
    </w:rPr>
  </w:style>
  <w:style w:type="paragraph" w:styleId="ListParagraph">
    <w:name w:val="List Paragraph"/>
    <w:basedOn w:val="Normal"/>
    <w:uiPriority w:val="34"/>
    <w:qFormat/>
    <w:rsid w:val="00170A1A"/>
    <w:pPr>
      <w:ind w:left="720"/>
      <w:contextualSpacing/>
    </w:pPr>
    <w:rPr>
      <w:lang w:val="hu-HU"/>
    </w:rPr>
  </w:style>
  <w:style w:type="paragraph" w:customStyle="1" w:styleId="Default">
    <w:name w:val="Default"/>
    <w:rsid w:val="00170A1A"/>
    <w:pPr>
      <w:autoSpaceDE w:val="0"/>
      <w:autoSpaceDN w:val="0"/>
      <w:adjustRightInd w:val="0"/>
      <w:spacing w:after="0" w:line="240" w:lineRule="auto"/>
    </w:pPr>
    <w:rPr>
      <w:rFonts w:ascii="EUAlbertina" w:hAnsi="EUAlbertina" w:cs="EUAlbertina"/>
      <w:color w:val="000000"/>
      <w:sz w:val="24"/>
      <w:szCs w:val="24"/>
      <w:lang w:val="hu-HU"/>
    </w:rPr>
  </w:style>
  <w:style w:type="paragraph" w:styleId="Caption">
    <w:name w:val="caption"/>
    <w:aliases w:val="Table"/>
    <w:basedOn w:val="Normal"/>
    <w:next w:val="Normal"/>
    <w:link w:val="CaptionChar"/>
    <w:qFormat/>
    <w:rsid w:val="00170A1A"/>
    <w:pPr>
      <w:keepNext/>
      <w:keepLines/>
      <w:spacing w:after="120" w:line="240" w:lineRule="auto"/>
      <w:jc w:val="both"/>
    </w:pPr>
    <w:rPr>
      <w:rFonts w:ascii="Arial" w:eastAsia="Times New Roman" w:hAnsi="Arial" w:cs="Times New Roman"/>
      <w:b/>
      <w:bCs/>
      <w:sz w:val="16"/>
      <w:szCs w:val="20"/>
      <w:lang w:val="hu-HU" w:eastAsia="de-DE"/>
    </w:rPr>
  </w:style>
  <w:style w:type="character" w:customStyle="1" w:styleId="CaptionChar">
    <w:name w:val="Caption Char"/>
    <w:aliases w:val="Table Char"/>
    <w:link w:val="Caption"/>
    <w:locked/>
    <w:rsid w:val="00170A1A"/>
    <w:rPr>
      <w:rFonts w:ascii="Arial" w:eastAsia="Times New Roman" w:hAnsi="Arial" w:cs="Times New Roman"/>
      <w:b/>
      <w:bCs/>
      <w:sz w:val="16"/>
      <w:szCs w:val="20"/>
      <w:lang w:val="hu-HU" w:eastAsia="de-DE"/>
    </w:rPr>
  </w:style>
  <w:style w:type="paragraph" w:styleId="Subtitle">
    <w:name w:val="Subtitle"/>
    <w:basedOn w:val="Normal"/>
    <w:next w:val="Normal"/>
    <w:link w:val="SubtitleChar"/>
    <w:uiPriority w:val="11"/>
    <w:qFormat/>
    <w:rsid w:val="00170A1A"/>
    <w:pPr>
      <w:numPr>
        <w:ilvl w:val="1"/>
      </w:numPr>
    </w:pPr>
    <w:rPr>
      <w:rFonts w:eastAsiaTheme="minorEastAsia"/>
      <w:color w:val="5A5A5A" w:themeColor="text1" w:themeTint="A5"/>
      <w:spacing w:val="15"/>
      <w:lang w:val="hu-HU"/>
    </w:rPr>
  </w:style>
  <w:style w:type="character" w:customStyle="1" w:styleId="SubtitleChar">
    <w:name w:val="Subtitle Char"/>
    <w:basedOn w:val="DefaultParagraphFont"/>
    <w:link w:val="Subtitle"/>
    <w:uiPriority w:val="11"/>
    <w:rsid w:val="00170A1A"/>
    <w:rPr>
      <w:rFonts w:eastAsiaTheme="minorEastAsia"/>
      <w:color w:val="5A5A5A" w:themeColor="text1" w:themeTint="A5"/>
      <w:spacing w:val="15"/>
      <w:lang w:val="hu-HU"/>
    </w:rPr>
  </w:style>
  <w:style w:type="character" w:styleId="Emphasis">
    <w:name w:val="Emphasis"/>
    <w:basedOn w:val="DefaultParagraphFont"/>
    <w:uiPriority w:val="20"/>
    <w:qFormat/>
    <w:rsid w:val="00170A1A"/>
    <w:rPr>
      <w:i/>
      <w:iCs/>
    </w:rPr>
  </w:style>
  <w:style w:type="paragraph" w:styleId="NormalWeb">
    <w:name w:val="Normal (Web)"/>
    <w:basedOn w:val="Normal"/>
    <w:uiPriority w:val="99"/>
    <w:semiHidden/>
    <w:unhideWhenUsed/>
    <w:rsid w:val="00170A1A"/>
    <w:pPr>
      <w:spacing w:before="100" w:beforeAutospacing="1" w:after="100" w:afterAutospacing="1" w:line="240" w:lineRule="auto"/>
    </w:pPr>
    <w:rPr>
      <w:rFonts w:ascii="Times New Roman" w:eastAsia="Times New Roman" w:hAnsi="Times New Roman" w:cs="Times New Roman"/>
      <w:sz w:val="24"/>
      <w:szCs w:val="24"/>
      <w:lang w:val="hu-HU" w:eastAsia="sk-SK"/>
    </w:rPr>
  </w:style>
  <w:style w:type="character" w:styleId="IntenseEmphasis">
    <w:name w:val="Intense Emphasis"/>
    <w:basedOn w:val="DefaultParagraphFont"/>
    <w:uiPriority w:val="21"/>
    <w:qFormat/>
    <w:rsid w:val="00170A1A"/>
    <w:rPr>
      <w:i/>
      <w:iCs/>
      <w:color w:val="5B9BD5" w:themeColor="accent1"/>
    </w:rPr>
  </w:style>
  <w:style w:type="character" w:styleId="IntenseReference">
    <w:name w:val="Intense Reference"/>
    <w:basedOn w:val="DefaultParagraphFont"/>
    <w:uiPriority w:val="32"/>
    <w:qFormat/>
    <w:rsid w:val="00170A1A"/>
    <w:rPr>
      <w:b/>
      <w:bCs/>
      <w:smallCaps/>
      <w:color w:val="5B9BD5" w:themeColor="accent1"/>
      <w:spacing w:val="5"/>
    </w:rPr>
  </w:style>
  <w:style w:type="paragraph" w:styleId="Title">
    <w:name w:val="Title"/>
    <w:basedOn w:val="Normal"/>
    <w:link w:val="TitleChar"/>
    <w:qFormat/>
    <w:rsid w:val="00170A1A"/>
    <w:pPr>
      <w:spacing w:before="240" w:after="60" w:line="240" w:lineRule="auto"/>
      <w:outlineLvl w:val="4"/>
    </w:pPr>
    <w:rPr>
      <w:rFonts w:ascii="Arial" w:eastAsia="Times New Roman" w:hAnsi="Arial" w:cs="Times New Roman"/>
      <w:b/>
      <w:i/>
      <w:snapToGrid w:val="0"/>
      <w:color w:val="749B29"/>
      <w:kern w:val="28"/>
      <w:sz w:val="20"/>
      <w:szCs w:val="20"/>
      <w:lang w:val="hu-HU" w:eastAsia="de-DE"/>
    </w:rPr>
  </w:style>
  <w:style w:type="character" w:customStyle="1" w:styleId="TitleChar">
    <w:name w:val="Title Char"/>
    <w:basedOn w:val="DefaultParagraphFont"/>
    <w:link w:val="Title"/>
    <w:rsid w:val="00170A1A"/>
    <w:rPr>
      <w:rFonts w:ascii="Arial" w:eastAsia="Times New Roman" w:hAnsi="Arial" w:cs="Times New Roman"/>
      <w:b/>
      <w:i/>
      <w:snapToGrid w:val="0"/>
      <w:color w:val="749B29"/>
      <w:kern w:val="28"/>
      <w:sz w:val="20"/>
      <w:szCs w:val="20"/>
      <w:lang w:val="hu-HU" w:eastAsia="de-DE"/>
    </w:rPr>
  </w:style>
  <w:style w:type="paragraph" w:styleId="BodyText2">
    <w:name w:val="Body Text 2"/>
    <w:basedOn w:val="Normal"/>
    <w:link w:val="BodyText2Char"/>
    <w:rsid w:val="00170A1A"/>
    <w:pPr>
      <w:spacing w:after="0" w:line="240" w:lineRule="auto"/>
      <w:jc w:val="both"/>
    </w:pPr>
    <w:rPr>
      <w:rFonts w:ascii="Times New Roman" w:eastAsia="Times New Roman" w:hAnsi="Times New Roman" w:cs="Times New Roman"/>
      <w:sz w:val="24"/>
      <w:szCs w:val="20"/>
      <w:lang w:val="hu-HU"/>
    </w:rPr>
  </w:style>
  <w:style w:type="character" w:customStyle="1" w:styleId="BodyText2Char">
    <w:name w:val="Body Text 2 Char"/>
    <w:basedOn w:val="DefaultParagraphFont"/>
    <w:link w:val="BodyText2"/>
    <w:rsid w:val="00170A1A"/>
    <w:rPr>
      <w:rFonts w:ascii="Times New Roman" w:eastAsia="Times New Roman" w:hAnsi="Times New Roman" w:cs="Times New Roman"/>
      <w:sz w:val="24"/>
      <w:szCs w:val="20"/>
      <w:lang w:val="hu-HU"/>
    </w:rPr>
  </w:style>
  <w:style w:type="paragraph" w:styleId="BodyText">
    <w:name w:val="Body Text"/>
    <w:basedOn w:val="Normal"/>
    <w:link w:val="BodyTextChar"/>
    <w:uiPriority w:val="99"/>
    <w:rsid w:val="00170A1A"/>
    <w:pPr>
      <w:spacing w:after="120" w:line="240" w:lineRule="auto"/>
      <w:jc w:val="both"/>
    </w:pPr>
    <w:rPr>
      <w:rFonts w:ascii="Arial" w:eastAsia="Times New Roman" w:hAnsi="Arial" w:cs="Times New Roman"/>
      <w:sz w:val="18"/>
      <w:szCs w:val="20"/>
      <w:lang w:val="hu-HU" w:eastAsia="de-DE"/>
    </w:rPr>
  </w:style>
  <w:style w:type="character" w:customStyle="1" w:styleId="BodyTextChar">
    <w:name w:val="Body Text Char"/>
    <w:basedOn w:val="DefaultParagraphFont"/>
    <w:link w:val="BodyText"/>
    <w:uiPriority w:val="99"/>
    <w:rsid w:val="00170A1A"/>
    <w:rPr>
      <w:rFonts w:ascii="Arial" w:eastAsia="Times New Roman" w:hAnsi="Arial" w:cs="Times New Roman"/>
      <w:sz w:val="18"/>
      <w:szCs w:val="20"/>
      <w:lang w:val="hu-HU" w:eastAsia="de-DE"/>
    </w:rPr>
  </w:style>
  <w:style w:type="paragraph" w:customStyle="1" w:styleId="Cuerpo">
    <w:name w:val="Cuerpo"/>
    <w:rsid w:val="00170A1A"/>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hu-HU"/>
    </w:rPr>
  </w:style>
  <w:style w:type="paragraph" w:styleId="Revision">
    <w:name w:val="Revision"/>
    <w:hidden/>
    <w:uiPriority w:val="99"/>
    <w:semiHidden/>
    <w:rsid w:val="00170A1A"/>
    <w:pPr>
      <w:spacing w:after="0" w:line="240" w:lineRule="auto"/>
    </w:pPr>
    <w:rPr>
      <w:lang w:val="hu-HU"/>
    </w:rPr>
  </w:style>
  <w:style w:type="paragraph" w:customStyle="1" w:styleId="CM4">
    <w:name w:val="CM4"/>
    <w:basedOn w:val="Normal"/>
    <w:next w:val="Normal"/>
    <w:uiPriority w:val="99"/>
    <w:rsid w:val="00170A1A"/>
    <w:pPr>
      <w:autoSpaceDE w:val="0"/>
      <w:autoSpaceDN w:val="0"/>
      <w:adjustRightInd w:val="0"/>
      <w:spacing w:after="0" w:line="240" w:lineRule="auto"/>
    </w:pPr>
    <w:rPr>
      <w:rFonts w:ascii="EUAlbertina" w:eastAsia="Times New Roman" w:hAnsi="EUAlbertina" w:cs="Times New Roman"/>
      <w:sz w:val="24"/>
      <w:szCs w:val="24"/>
      <w:lang w:val="hu-HU" w:eastAsia="fr-BE"/>
    </w:rPr>
  </w:style>
  <w:style w:type="table" w:styleId="LightList-Accent3">
    <w:name w:val="Light List Accent 3"/>
    <w:basedOn w:val="TableNormal"/>
    <w:uiPriority w:val="61"/>
    <w:rsid w:val="00170A1A"/>
    <w:pPr>
      <w:spacing w:after="0" w:line="240" w:lineRule="auto"/>
    </w:pPr>
    <w:rPr>
      <w:rFonts w:ascii="Times New Roman" w:eastAsia="Times New Roman" w:hAnsi="Times New Roman" w:cs="Times New Roman"/>
      <w:sz w:val="20"/>
      <w:szCs w:val="20"/>
      <w:lang w:val="hu-HU" w:eastAsia="fr-B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170A1A"/>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170A1A"/>
    <w:rPr>
      <w:rFonts w:ascii="Calibri" w:eastAsia="Arial Unicode MS" w:hAnsi="Calibri" w:cs="Calibri"/>
      <w:bdr w:val="nil"/>
      <w:lang w:val="hu-HU"/>
    </w:rPr>
  </w:style>
  <w:style w:type="paragraph" w:styleId="NoSpacing">
    <w:name w:val="No Spacing"/>
    <w:uiPriority w:val="1"/>
    <w:qFormat/>
    <w:rsid w:val="00170A1A"/>
    <w:pPr>
      <w:spacing w:after="0" w:line="240" w:lineRule="auto"/>
    </w:pPr>
    <w:rPr>
      <w:lang w:val="hu-HU"/>
    </w:rPr>
  </w:style>
  <w:style w:type="table" w:customStyle="1" w:styleId="TableGrid2">
    <w:name w:val="Table Grid2"/>
    <w:basedOn w:val="TableNormal"/>
    <w:next w:val="TableGrid"/>
    <w:uiPriority w:val="39"/>
    <w:rsid w:val="00170A1A"/>
    <w:pPr>
      <w:spacing w:after="0" w:line="240" w:lineRule="auto"/>
    </w:pPr>
    <w:rPr>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70A1A"/>
  </w:style>
  <w:style w:type="table" w:customStyle="1" w:styleId="Mriekatabuky1">
    <w:name w:val="Mriežka tabuľky1"/>
    <w:basedOn w:val="TableNormal"/>
    <w:next w:val="TableGrid"/>
    <w:uiPriority w:val="59"/>
    <w:rsid w:val="00170A1A"/>
    <w:pPr>
      <w:spacing w:after="0" w:line="240" w:lineRule="auto"/>
    </w:pPr>
    <w:rPr>
      <w:rFonts w:ascii="Calibri" w:eastAsia="Times New Roman" w:hAnsi="Calibri" w:cs="Times New Roman"/>
      <w:sz w:val="24"/>
      <w:szCs w:val="24"/>
      <w:lang w:val="hu-HU" w:eastAsia="da-DK"/>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170A1A"/>
    <w:pPr>
      <w:spacing w:after="0" w:line="240" w:lineRule="auto"/>
    </w:pPr>
    <w:rPr>
      <w:rFonts w:ascii="Times New Roman" w:eastAsia="Times New Roman" w:hAnsi="Times New Roman" w:cs="Times New Roman"/>
      <w:color w:val="C45911" w:themeColor="accent2" w:themeShade="BF"/>
      <w:sz w:val="20"/>
      <w:szCs w:val="20"/>
      <w:lang w:val="hu-HU" w:eastAsia="de-D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170A1A"/>
    <w:pPr>
      <w:spacing w:after="0" w:line="240" w:lineRule="auto"/>
    </w:pPr>
    <w:rPr>
      <w:rFonts w:ascii="Times New Roman" w:eastAsia="Times New Roman" w:hAnsi="Times New Roman" w:cs="Times New Roman"/>
      <w:color w:val="7B7B7B" w:themeColor="accent3" w:themeShade="BF"/>
      <w:sz w:val="20"/>
      <w:szCs w:val="20"/>
      <w:lang w:val="hu-HU" w:eastAsia="de-D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170A1A"/>
    <w:pPr>
      <w:spacing w:after="0" w:line="240" w:lineRule="auto"/>
    </w:pPr>
    <w:rPr>
      <w:rFonts w:ascii="Times New Roman" w:eastAsia="Times New Roman" w:hAnsi="Times New Roman" w:cs="Times New Roman"/>
      <w:sz w:val="20"/>
      <w:szCs w:val="20"/>
      <w:lang w:val="hu-HU" w:eastAsia="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170A1A"/>
    <w:rPr>
      <w:color w:val="954F72" w:themeColor="followedHyperlink"/>
      <w:u w:val="single"/>
    </w:rPr>
  </w:style>
  <w:style w:type="paragraph" w:customStyle="1" w:styleId="Normal1">
    <w:name w:val="Normal1"/>
    <w:next w:val="Normal"/>
    <w:rsid w:val="00170A1A"/>
    <w:pPr>
      <w:numPr>
        <w:numId w:val="20"/>
      </w:numPr>
      <w:spacing w:after="120" w:line="280" w:lineRule="atLeast"/>
      <w:jc w:val="both"/>
    </w:pPr>
    <w:rPr>
      <w:rFonts w:ascii="Arial" w:eastAsia="Times New Roman" w:hAnsi="Arial" w:cs="Times New Roman"/>
      <w:sz w:val="20"/>
      <w:lang w:val="hu-HU" w:eastAsia="de-DE"/>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170A1A"/>
    <w:rPr>
      <w:rFonts w:ascii="Arial" w:hAnsi="Arial" w:cs="Times New Roman"/>
      <w:sz w:val="16"/>
      <w:lang w:val="hu-HU" w:eastAsia="en-US"/>
    </w:rPr>
  </w:style>
  <w:style w:type="paragraph" w:customStyle="1" w:styleId="H-Standard">
    <w:name w:val="H-Standard"/>
    <w:basedOn w:val="Normal"/>
    <w:qFormat/>
    <w:rsid w:val="00170A1A"/>
    <w:pPr>
      <w:spacing w:after="120" w:line="280" w:lineRule="atLeast"/>
      <w:jc w:val="both"/>
    </w:pPr>
    <w:rPr>
      <w:rFonts w:ascii="Arial" w:eastAsia="Times New Roman" w:hAnsi="Arial" w:cs="Arial"/>
      <w:color w:val="576C88" w:themeColor="text2" w:themeTint="D9"/>
      <w:sz w:val="20"/>
      <w:szCs w:val="18"/>
      <w:lang w:val="hu-HU" w:eastAsia="de-DE"/>
    </w:rPr>
  </w:style>
  <w:style w:type="paragraph" w:customStyle="1" w:styleId="H-Heading1">
    <w:name w:val="H-Heading 1"/>
    <w:basedOn w:val="Heading1"/>
    <w:qFormat/>
    <w:rsid w:val="00170A1A"/>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170A1A"/>
    <w:pPr>
      <w:numPr>
        <w:numId w:val="21"/>
      </w:numPr>
      <w:spacing w:after="120" w:line="280" w:lineRule="atLeast"/>
      <w:contextualSpacing w:val="0"/>
      <w:jc w:val="both"/>
    </w:pPr>
    <w:rPr>
      <w:rFonts w:ascii="Helvetica" w:eastAsia="Times New Roman" w:hAnsi="Helvetica" w:cs="Arial"/>
      <w:snapToGrid w:val="0"/>
      <w:color w:val="000000"/>
      <w:sz w:val="20"/>
      <w:szCs w:val="24"/>
      <w:lang w:eastAsia="de-DE"/>
    </w:rPr>
  </w:style>
  <w:style w:type="paragraph" w:customStyle="1" w:styleId="H-Heading2">
    <w:name w:val="H-Heading 2"/>
    <w:basedOn w:val="H-Heading1"/>
    <w:qFormat/>
    <w:rsid w:val="00170A1A"/>
    <w:pPr>
      <w:numPr>
        <w:ilvl w:val="1"/>
        <w:numId w:val="22"/>
      </w:numPr>
      <w:spacing w:before="240" w:after="240"/>
    </w:pPr>
    <w:rPr>
      <w:caps w:val="0"/>
      <w:color w:val="6F6F6F"/>
      <w:sz w:val="20"/>
    </w:rPr>
  </w:style>
  <w:style w:type="paragraph" w:customStyle="1" w:styleId="H-Heading3">
    <w:name w:val="H-Heading 3"/>
    <w:basedOn w:val="H-Heading2"/>
    <w:rsid w:val="00170A1A"/>
    <w:pPr>
      <w:numPr>
        <w:ilvl w:val="2"/>
        <w:numId w:val="23"/>
      </w:numPr>
    </w:pPr>
    <w:rPr>
      <w:b w:val="0"/>
      <w:color w:val="DF6532"/>
    </w:rPr>
  </w:style>
  <w:style w:type="paragraph" w:customStyle="1" w:styleId="H-Heading4">
    <w:name w:val="H-Heading 4"/>
    <w:basedOn w:val="H-Heading3"/>
    <w:qFormat/>
    <w:rsid w:val="00170A1A"/>
    <w:pPr>
      <w:numPr>
        <w:ilvl w:val="0"/>
        <w:numId w:val="0"/>
      </w:numPr>
    </w:pPr>
    <w:rPr>
      <w:b/>
      <w:color w:val="6E8967"/>
    </w:rPr>
  </w:style>
  <w:style w:type="paragraph" w:styleId="Bibliography">
    <w:name w:val="Bibliography"/>
    <w:basedOn w:val="Normal"/>
    <w:next w:val="Normal"/>
    <w:uiPriority w:val="37"/>
    <w:semiHidden/>
    <w:unhideWhenUsed/>
    <w:rsid w:val="00170A1A"/>
    <w:pPr>
      <w:spacing w:before="60" w:after="140" w:line="220" w:lineRule="atLeast"/>
      <w:jc w:val="both"/>
    </w:pPr>
    <w:rPr>
      <w:rFonts w:ascii="Arial" w:eastAsia="Times New Roman" w:hAnsi="Arial" w:cs="Times New Roman"/>
      <w:sz w:val="18"/>
      <w:szCs w:val="24"/>
      <w:lang w:val="hu-HU" w:eastAsia="de-DE"/>
    </w:rPr>
  </w:style>
  <w:style w:type="paragraph" w:styleId="BlockText">
    <w:name w:val="Block Text"/>
    <w:basedOn w:val="Normal"/>
    <w:uiPriority w:val="99"/>
    <w:semiHidden/>
    <w:unhideWhenUsed/>
    <w:rsid w:val="00170A1A"/>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hu-HU" w:eastAsia="de-DE"/>
    </w:rPr>
  </w:style>
  <w:style w:type="paragraph" w:styleId="BodyText3">
    <w:name w:val="Body Text 3"/>
    <w:basedOn w:val="Normal"/>
    <w:link w:val="BodyText3Char"/>
    <w:uiPriority w:val="99"/>
    <w:semiHidden/>
    <w:unhideWhenUsed/>
    <w:rsid w:val="00170A1A"/>
    <w:pPr>
      <w:spacing w:before="60" w:after="120" w:line="220" w:lineRule="atLeast"/>
      <w:jc w:val="both"/>
    </w:pPr>
    <w:rPr>
      <w:rFonts w:ascii="Arial" w:eastAsia="Times New Roman" w:hAnsi="Arial" w:cs="Times New Roman"/>
      <w:sz w:val="16"/>
      <w:szCs w:val="16"/>
      <w:lang w:val="hu-HU" w:eastAsia="de-DE"/>
    </w:rPr>
  </w:style>
  <w:style w:type="character" w:customStyle="1" w:styleId="BodyText3Char">
    <w:name w:val="Body Text 3 Char"/>
    <w:basedOn w:val="DefaultParagraphFont"/>
    <w:link w:val="BodyText3"/>
    <w:uiPriority w:val="99"/>
    <w:semiHidden/>
    <w:rsid w:val="00170A1A"/>
    <w:rPr>
      <w:rFonts w:ascii="Arial" w:eastAsia="Times New Roman" w:hAnsi="Arial" w:cs="Times New Roman"/>
      <w:sz w:val="16"/>
      <w:szCs w:val="16"/>
      <w:lang w:val="hu-HU" w:eastAsia="de-DE"/>
    </w:rPr>
  </w:style>
  <w:style w:type="paragraph" w:styleId="BodyTextFirstIndent">
    <w:name w:val="Body Text First Indent"/>
    <w:basedOn w:val="BodyText"/>
    <w:link w:val="BodyTextFirstIndentChar"/>
    <w:uiPriority w:val="99"/>
    <w:semiHidden/>
    <w:unhideWhenUsed/>
    <w:rsid w:val="00170A1A"/>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170A1A"/>
    <w:rPr>
      <w:rFonts w:ascii="Arial" w:eastAsia="Times New Roman" w:hAnsi="Arial" w:cs="Times New Roman"/>
      <w:sz w:val="18"/>
      <w:szCs w:val="24"/>
      <w:lang w:val="hu-HU" w:eastAsia="de-DE"/>
    </w:rPr>
  </w:style>
  <w:style w:type="paragraph" w:styleId="BodyTextIndent">
    <w:name w:val="Body Text Indent"/>
    <w:basedOn w:val="Normal"/>
    <w:link w:val="BodyTextIndentChar"/>
    <w:uiPriority w:val="99"/>
    <w:semiHidden/>
    <w:unhideWhenUsed/>
    <w:rsid w:val="00170A1A"/>
    <w:pPr>
      <w:spacing w:before="60" w:after="120" w:line="220" w:lineRule="atLeast"/>
      <w:ind w:left="283"/>
      <w:jc w:val="both"/>
    </w:pPr>
    <w:rPr>
      <w:rFonts w:ascii="Arial" w:eastAsia="Times New Roman" w:hAnsi="Arial" w:cs="Times New Roman"/>
      <w:sz w:val="18"/>
      <w:szCs w:val="24"/>
      <w:lang w:val="hu-HU" w:eastAsia="de-DE"/>
    </w:rPr>
  </w:style>
  <w:style w:type="character" w:customStyle="1" w:styleId="BodyTextIndentChar">
    <w:name w:val="Body Text Indent Char"/>
    <w:basedOn w:val="DefaultParagraphFont"/>
    <w:link w:val="BodyTextIndent"/>
    <w:uiPriority w:val="99"/>
    <w:semiHidden/>
    <w:rsid w:val="00170A1A"/>
    <w:rPr>
      <w:rFonts w:ascii="Arial" w:eastAsia="Times New Roman" w:hAnsi="Arial" w:cs="Times New Roman"/>
      <w:sz w:val="18"/>
      <w:szCs w:val="24"/>
      <w:lang w:val="hu-HU" w:eastAsia="de-DE"/>
    </w:rPr>
  </w:style>
  <w:style w:type="paragraph" w:styleId="BodyTextFirstIndent2">
    <w:name w:val="Body Text First Indent 2"/>
    <w:basedOn w:val="BodyTextIndent"/>
    <w:link w:val="BodyTextFirstIndent2Char"/>
    <w:uiPriority w:val="99"/>
    <w:semiHidden/>
    <w:unhideWhenUsed/>
    <w:rsid w:val="00170A1A"/>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170A1A"/>
    <w:rPr>
      <w:rFonts w:ascii="Arial" w:eastAsia="Times New Roman" w:hAnsi="Arial" w:cs="Times New Roman"/>
      <w:sz w:val="18"/>
      <w:szCs w:val="24"/>
      <w:lang w:val="hu-HU" w:eastAsia="de-DE"/>
    </w:rPr>
  </w:style>
  <w:style w:type="paragraph" w:styleId="BodyTextIndent2">
    <w:name w:val="Body Text Indent 2"/>
    <w:basedOn w:val="Normal"/>
    <w:link w:val="BodyTextIndent2Char"/>
    <w:uiPriority w:val="99"/>
    <w:semiHidden/>
    <w:unhideWhenUsed/>
    <w:rsid w:val="00170A1A"/>
    <w:pPr>
      <w:spacing w:before="60" w:after="120" w:line="480" w:lineRule="auto"/>
      <w:ind w:left="283"/>
      <w:jc w:val="both"/>
    </w:pPr>
    <w:rPr>
      <w:rFonts w:ascii="Arial" w:eastAsia="Times New Roman" w:hAnsi="Arial" w:cs="Times New Roman"/>
      <w:sz w:val="18"/>
      <w:szCs w:val="24"/>
      <w:lang w:val="hu-HU" w:eastAsia="de-DE"/>
    </w:rPr>
  </w:style>
  <w:style w:type="character" w:customStyle="1" w:styleId="BodyTextIndent2Char">
    <w:name w:val="Body Text Indent 2 Char"/>
    <w:basedOn w:val="DefaultParagraphFont"/>
    <w:link w:val="BodyTextIndent2"/>
    <w:uiPriority w:val="99"/>
    <w:semiHidden/>
    <w:rsid w:val="00170A1A"/>
    <w:rPr>
      <w:rFonts w:ascii="Arial" w:eastAsia="Times New Roman" w:hAnsi="Arial" w:cs="Times New Roman"/>
      <w:sz w:val="18"/>
      <w:szCs w:val="24"/>
      <w:lang w:val="hu-HU" w:eastAsia="de-DE"/>
    </w:rPr>
  </w:style>
  <w:style w:type="paragraph" w:styleId="BodyTextIndent3">
    <w:name w:val="Body Text Indent 3"/>
    <w:basedOn w:val="Normal"/>
    <w:link w:val="BodyTextIndent3Char"/>
    <w:uiPriority w:val="99"/>
    <w:semiHidden/>
    <w:unhideWhenUsed/>
    <w:rsid w:val="00170A1A"/>
    <w:pPr>
      <w:spacing w:before="60" w:after="120" w:line="220" w:lineRule="atLeast"/>
      <w:ind w:left="283"/>
      <w:jc w:val="both"/>
    </w:pPr>
    <w:rPr>
      <w:rFonts w:ascii="Arial" w:eastAsia="Times New Roman" w:hAnsi="Arial" w:cs="Times New Roman"/>
      <w:sz w:val="16"/>
      <w:szCs w:val="16"/>
      <w:lang w:val="hu-HU" w:eastAsia="de-DE"/>
    </w:rPr>
  </w:style>
  <w:style w:type="character" w:customStyle="1" w:styleId="BodyTextIndent3Char">
    <w:name w:val="Body Text Indent 3 Char"/>
    <w:basedOn w:val="DefaultParagraphFont"/>
    <w:link w:val="BodyTextIndent3"/>
    <w:uiPriority w:val="99"/>
    <w:semiHidden/>
    <w:rsid w:val="00170A1A"/>
    <w:rPr>
      <w:rFonts w:ascii="Arial" w:eastAsia="Times New Roman" w:hAnsi="Arial" w:cs="Times New Roman"/>
      <w:sz w:val="16"/>
      <w:szCs w:val="16"/>
      <w:lang w:val="hu-HU" w:eastAsia="de-DE"/>
    </w:rPr>
  </w:style>
  <w:style w:type="paragraph" w:styleId="Closing">
    <w:name w:val="Closing"/>
    <w:basedOn w:val="Normal"/>
    <w:link w:val="ClosingChar"/>
    <w:uiPriority w:val="99"/>
    <w:semiHidden/>
    <w:unhideWhenUsed/>
    <w:rsid w:val="00170A1A"/>
    <w:pPr>
      <w:spacing w:after="0" w:line="240" w:lineRule="auto"/>
      <w:ind w:left="4252"/>
      <w:jc w:val="both"/>
    </w:pPr>
    <w:rPr>
      <w:rFonts w:ascii="Arial" w:eastAsia="Times New Roman" w:hAnsi="Arial" w:cs="Times New Roman"/>
      <w:sz w:val="18"/>
      <w:szCs w:val="24"/>
      <w:lang w:val="hu-HU" w:eastAsia="de-DE"/>
    </w:rPr>
  </w:style>
  <w:style w:type="character" w:customStyle="1" w:styleId="ClosingChar">
    <w:name w:val="Closing Char"/>
    <w:basedOn w:val="DefaultParagraphFont"/>
    <w:link w:val="Closing"/>
    <w:uiPriority w:val="99"/>
    <w:semiHidden/>
    <w:rsid w:val="00170A1A"/>
    <w:rPr>
      <w:rFonts w:ascii="Arial" w:eastAsia="Times New Roman" w:hAnsi="Arial" w:cs="Times New Roman"/>
      <w:sz w:val="18"/>
      <w:szCs w:val="24"/>
      <w:lang w:val="hu-HU" w:eastAsia="de-DE"/>
    </w:rPr>
  </w:style>
  <w:style w:type="paragraph" w:styleId="Date">
    <w:name w:val="Date"/>
    <w:basedOn w:val="Normal"/>
    <w:next w:val="Normal"/>
    <w:link w:val="DateChar"/>
    <w:uiPriority w:val="99"/>
    <w:semiHidden/>
    <w:unhideWhenUsed/>
    <w:rsid w:val="00170A1A"/>
    <w:pPr>
      <w:spacing w:before="60" w:after="140" w:line="220" w:lineRule="atLeast"/>
      <w:jc w:val="both"/>
    </w:pPr>
    <w:rPr>
      <w:rFonts w:ascii="Arial" w:eastAsia="Times New Roman" w:hAnsi="Arial" w:cs="Times New Roman"/>
      <w:sz w:val="18"/>
      <w:szCs w:val="24"/>
      <w:lang w:val="hu-HU" w:eastAsia="de-DE"/>
    </w:rPr>
  </w:style>
  <w:style w:type="character" w:customStyle="1" w:styleId="DateChar">
    <w:name w:val="Date Char"/>
    <w:basedOn w:val="DefaultParagraphFont"/>
    <w:link w:val="Date"/>
    <w:uiPriority w:val="99"/>
    <w:semiHidden/>
    <w:rsid w:val="00170A1A"/>
    <w:rPr>
      <w:rFonts w:ascii="Arial" w:eastAsia="Times New Roman" w:hAnsi="Arial" w:cs="Times New Roman"/>
      <w:sz w:val="18"/>
      <w:szCs w:val="24"/>
      <w:lang w:val="hu-HU" w:eastAsia="de-DE"/>
    </w:rPr>
  </w:style>
  <w:style w:type="paragraph" w:styleId="E-mailSignature">
    <w:name w:val="E-mail Signature"/>
    <w:basedOn w:val="Normal"/>
    <w:link w:val="E-mailSignatureChar"/>
    <w:uiPriority w:val="99"/>
    <w:semiHidden/>
    <w:unhideWhenUsed/>
    <w:rsid w:val="00170A1A"/>
    <w:pPr>
      <w:spacing w:after="0" w:line="240" w:lineRule="auto"/>
      <w:jc w:val="both"/>
    </w:pPr>
    <w:rPr>
      <w:rFonts w:ascii="Arial" w:eastAsia="Times New Roman" w:hAnsi="Arial" w:cs="Times New Roman"/>
      <w:sz w:val="18"/>
      <w:szCs w:val="24"/>
      <w:lang w:val="hu-HU" w:eastAsia="de-DE"/>
    </w:rPr>
  </w:style>
  <w:style w:type="character" w:customStyle="1" w:styleId="E-mailSignatureChar">
    <w:name w:val="E-mail Signature Char"/>
    <w:basedOn w:val="DefaultParagraphFont"/>
    <w:link w:val="E-mailSignature"/>
    <w:uiPriority w:val="99"/>
    <w:semiHidden/>
    <w:rsid w:val="00170A1A"/>
    <w:rPr>
      <w:rFonts w:ascii="Arial" w:eastAsia="Times New Roman" w:hAnsi="Arial" w:cs="Times New Roman"/>
      <w:sz w:val="18"/>
      <w:szCs w:val="24"/>
      <w:lang w:val="hu-HU" w:eastAsia="de-DE"/>
    </w:rPr>
  </w:style>
  <w:style w:type="paragraph" w:styleId="EnvelopeAddress">
    <w:name w:val="envelope address"/>
    <w:basedOn w:val="Normal"/>
    <w:uiPriority w:val="99"/>
    <w:semiHidden/>
    <w:unhideWhenUsed/>
    <w:rsid w:val="00170A1A"/>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hu-HU" w:eastAsia="de-DE"/>
    </w:rPr>
  </w:style>
  <w:style w:type="paragraph" w:styleId="EnvelopeReturn">
    <w:name w:val="envelope return"/>
    <w:basedOn w:val="Normal"/>
    <w:uiPriority w:val="99"/>
    <w:semiHidden/>
    <w:unhideWhenUsed/>
    <w:rsid w:val="00170A1A"/>
    <w:pPr>
      <w:spacing w:after="0" w:line="240" w:lineRule="auto"/>
      <w:jc w:val="both"/>
    </w:pPr>
    <w:rPr>
      <w:rFonts w:asciiTheme="majorHAnsi" w:eastAsiaTheme="majorEastAsia" w:hAnsiTheme="majorHAnsi" w:cstheme="majorBidi"/>
      <w:sz w:val="20"/>
      <w:szCs w:val="20"/>
      <w:lang w:val="hu-HU" w:eastAsia="de-DE"/>
    </w:rPr>
  </w:style>
  <w:style w:type="paragraph" w:styleId="HTMLAddress">
    <w:name w:val="HTML Address"/>
    <w:basedOn w:val="Normal"/>
    <w:link w:val="HTMLAddressChar"/>
    <w:uiPriority w:val="99"/>
    <w:semiHidden/>
    <w:unhideWhenUsed/>
    <w:rsid w:val="00170A1A"/>
    <w:pPr>
      <w:spacing w:after="0" w:line="240" w:lineRule="auto"/>
      <w:jc w:val="both"/>
    </w:pPr>
    <w:rPr>
      <w:rFonts w:ascii="Arial" w:eastAsia="Times New Roman" w:hAnsi="Arial" w:cs="Times New Roman"/>
      <w:i/>
      <w:iCs/>
      <w:sz w:val="18"/>
      <w:szCs w:val="24"/>
      <w:lang w:val="hu-HU" w:eastAsia="de-DE"/>
    </w:rPr>
  </w:style>
  <w:style w:type="character" w:customStyle="1" w:styleId="HTMLAddressChar">
    <w:name w:val="HTML Address Char"/>
    <w:basedOn w:val="DefaultParagraphFont"/>
    <w:link w:val="HTMLAddress"/>
    <w:uiPriority w:val="99"/>
    <w:semiHidden/>
    <w:rsid w:val="00170A1A"/>
    <w:rPr>
      <w:rFonts w:ascii="Arial" w:eastAsia="Times New Roman" w:hAnsi="Arial" w:cs="Times New Roman"/>
      <w:i/>
      <w:iCs/>
      <w:sz w:val="18"/>
      <w:szCs w:val="24"/>
      <w:lang w:val="hu-HU" w:eastAsia="de-DE"/>
    </w:rPr>
  </w:style>
  <w:style w:type="paragraph" w:styleId="HTMLPreformatted">
    <w:name w:val="HTML Preformatted"/>
    <w:basedOn w:val="Normal"/>
    <w:link w:val="HTMLPreformattedChar"/>
    <w:uiPriority w:val="99"/>
    <w:semiHidden/>
    <w:unhideWhenUsed/>
    <w:rsid w:val="00170A1A"/>
    <w:pPr>
      <w:spacing w:after="0" w:line="240" w:lineRule="auto"/>
      <w:jc w:val="both"/>
    </w:pPr>
    <w:rPr>
      <w:rFonts w:ascii="Consolas" w:eastAsia="Times New Roman" w:hAnsi="Consolas" w:cs="Times New Roman"/>
      <w:sz w:val="20"/>
      <w:szCs w:val="20"/>
      <w:lang w:val="hu-HU" w:eastAsia="de-DE"/>
    </w:rPr>
  </w:style>
  <w:style w:type="character" w:customStyle="1" w:styleId="HTMLPreformattedChar">
    <w:name w:val="HTML Preformatted Char"/>
    <w:basedOn w:val="DefaultParagraphFont"/>
    <w:link w:val="HTMLPreformatted"/>
    <w:uiPriority w:val="99"/>
    <w:semiHidden/>
    <w:rsid w:val="00170A1A"/>
    <w:rPr>
      <w:rFonts w:ascii="Consolas" w:eastAsia="Times New Roman" w:hAnsi="Consolas" w:cs="Times New Roman"/>
      <w:sz w:val="20"/>
      <w:szCs w:val="20"/>
      <w:lang w:val="hu-HU" w:eastAsia="de-DE"/>
    </w:rPr>
  </w:style>
  <w:style w:type="paragraph" w:styleId="Index1">
    <w:name w:val="index 1"/>
    <w:basedOn w:val="Normal"/>
    <w:next w:val="Normal"/>
    <w:autoRedefine/>
    <w:uiPriority w:val="99"/>
    <w:semiHidden/>
    <w:unhideWhenUsed/>
    <w:rsid w:val="00170A1A"/>
    <w:pPr>
      <w:spacing w:after="0" w:line="240" w:lineRule="auto"/>
      <w:ind w:left="180" w:hanging="180"/>
      <w:jc w:val="both"/>
    </w:pPr>
    <w:rPr>
      <w:rFonts w:ascii="Arial" w:eastAsia="Times New Roman" w:hAnsi="Arial" w:cs="Times New Roman"/>
      <w:sz w:val="18"/>
      <w:szCs w:val="24"/>
      <w:lang w:val="hu-HU" w:eastAsia="de-DE"/>
    </w:rPr>
  </w:style>
  <w:style w:type="paragraph" w:styleId="Index2">
    <w:name w:val="index 2"/>
    <w:basedOn w:val="Normal"/>
    <w:next w:val="Normal"/>
    <w:autoRedefine/>
    <w:uiPriority w:val="99"/>
    <w:semiHidden/>
    <w:unhideWhenUsed/>
    <w:rsid w:val="00170A1A"/>
    <w:pPr>
      <w:spacing w:after="0" w:line="240" w:lineRule="auto"/>
      <w:ind w:left="360" w:hanging="180"/>
      <w:jc w:val="both"/>
    </w:pPr>
    <w:rPr>
      <w:rFonts w:ascii="Arial" w:eastAsia="Times New Roman" w:hAnsi="Arial" w:cs="Times New Roman"/>
      <w:sz w:val="18"/>
      <w:szCs w:val="24"/>
      <w:lang w:val="hu-HU" w:eastAsia="de-DE"/>
    </w:rPr>
  </w:style>
  <w:style w:type="paragraph" w:styleId="Index3">
    <w:name w:val="index 3"/>
    <w:basedOn w:val="Normal"/>
    <w:next w:val="Normal"/>
    <w:autoRedefine/>
    <w:uiPriority w:val="99"/>
    <w:semiHidden/>
    <w:unhideWhenUsed/>
    <w:rsid w:val="00170A1A"/>
    <w:pPr>
      <w:spacing w:after="0" w:line="240" w:lineRule="auto"/>
      <w:ind w:left="540" w:hanging="180"/>
      <w:jc w:val="both"/>
    </w:pPr>
    <w:rPr>
      <w:rFonts w:ascii="Arial" w:eastAsia="Times New Roman" w:hAnsi="Arial" w:cs="Times New Roman"/>
      <w:sz w:val="18"/>
      <w:szCs w:val="24"/>
      <w:lang w:val="hu-HU" w:eastAsia="de-DE"/>
    </w:rPr>
  </w:style>
  <w:style w:type="paragraph" w:styleId="Index4">
    <w:name w:val="index 4"/>
    <w:basedOn w:val="Normal"/>
    <w:next w:val="Normal"/>
    <w:autoRedefine/>
    <w:uiPriority w:val="99"/>
    <w:semiHidden/>
    <w:unhideWhenUsed/>
    <w:rsid w:val="00170A1A"/>
    <w:pPr>
      <w:spacing w:after="0" w:line="240" w:lineRule="auto"/>
      <w:ind w:left="720" w:hanging="180"/>
      <w:jc w:val="both"/>
    </w:pPr>
    <w:rPr>
      <w:rFonts w:ascii="Arial" w:eastAsia="Times New Roman" w:hAnsi="Arial" w:cs="Times New Roman"/>
      <w:sz w:val="18"/>
      <w:szCs w:val="24"/>
      <w:lang w:val="hu-HU" w:eastAsia="de-DE"/>
    </w:rPr>
  </w:style>
  <w:style w:type="paragraph" w:styleId="Index5">
    <w:name w:val="index 5"/>
    <w:basedOn w:val="Normal"/>
    <w:next w:val="Normal"/>
    <w:autoRedefine/>
    <w:uiPriority w:val="99"/>
    <w:semiHidden/>
    <w:unhideWhenUsed/>
    <w:rsid w:val="00170A1A"/>
    <w:pPr>
      <w:spacing w:after="0" w:line="240" w:lineRule="auto"/>
      <w:ind w:left="900" w:hanging="180"/>
      <w:jc w:val="both"/>
    </w:pPr>
    <w:rPr>
      <w:rFonts w:ascii="Arial" w:eastAsia="Times New Roman" w:hAnsi="Arial" w:cs="Times New Roman"/>
      <w:sz w:val="18"/>
      <w:szCs w:val="24"/>
      <w:lang w:val="hu-HU" w:eastAsia="de-DE"/>
    </w:rPr>
  </w:style>
  <w:style w:type="paragraph" w:styleId="Index6">
    <w:name w:val="index 6"/>
    <w:basedOn w:val="Normal"/>
    <w:next w:val="Normal"/>
    <w:autoRedefine/>
    <w:uiPriority w:val="99"/>
    <w:semiHidden/>
    <w:unhideWhenUsed/>
    <w:rsid w:val="00170A1A"/>
    <w:pPr>
      <w:spacing w:after="0" w:line="240" w:lineRule="auto"/>
      <w:ind w:left="1080" w:hanging="180"/>
      <w:jc w:val="both"/>
    </w:pPr>
    <w:rPr>
      <w:rFonts w:ascii="Arial" w:eastAsia="Times New Roman" w:hAnsi="Arial" w:cs="Times New Roman"/>
      <w:sz w:val="18"/>
      <w:szCs w:val="24"/>
      <w:lang w:val="hu-HU" w:eastAsia="de-DE"/>
    </w:rPr>
  </w:style>
  <w:style w:type="paragraph" w:styleId="Index7">
    <w:name w:val="index 7"/>
    <w:basedOn w:val="Normal"/>
    <w:next w:val="Normal"/>
    <w:autoRedefine/>
    <w:uiPriority w:val="99"/>
    <w:semiHidden/>
    <w:unhideWhenUsed/>
    <w:rsid w:val="00170A1A"/>
    <w:pPr>
      <w:spacing w:after="0" w:line="240" w:lineRule="auto"/>
      <w:ind w:left="1260" w:hanging="180"/>
      <w:jc w:val="both"/>
    </w:pPr>
    <w:rPr>
      <w:rFonts w:ascii="Arial" w:eastAsia="Times New Roman" w:hAnsi="Arial" w:cs="Times New Roman"/>
      <w:sz w:val="18"/>
      <w:szCs w:val="24"/>
      <w:lang w:val="hu-HU" w:eastAsia="de-DE"/>
    </w:rPr>
  </w:style>
  <w:style w:type="paragraph" w:styleId="Index8">
    <w:name w:val="index 8"/>
    <w:basedOn w:val="Normal"/>
    <w:next w:val="Normal"/>
    <w:autoRedefine/>
    <w:uiPriority w:val="99"/>
    <w:semiHidden/>
    <w:unhideWhenUsed/>
    <w:rsid w:val="00170A1A"/>
    <w:pPr>
      <w:spacing w:after="0" w:line="240" w:lineRule="auto"/>
      <w:ind w:left="1440" w:hanging="180"/>
      <w:jc w:val="both"/>
    </w:pPr>
    <w:rPr>
      <w:rFonts w:ascii="Arial" w:eastAsia="Times New Roman" w:hAnsi="Arial" w:cs="Times New Roman"/>
      <w:sz w:val="18"/>
      <w:szCs w:val="24"/>
      <w:lang w:val="hu-HU" w:eastAsia="de-DE"/>
    </w:rPr>
  </w:style>
  <w:style w:type="paragraph" w:styleId="Index9">
    <w:name w:val="index 9"/>
    <w:basedOn w:val="Normal"/>
    <w:next w:val="Normal"/>
    <w:autoRedefine/>
    <w:uiPriority w:val="99"/>
    <w:semiHidden/>
    <w:unhideWhenUsed/>
    <w:rsid w:val="00170A1A"/>
    <w:pPr>
      <w:spacing w:after="0" w:line="240" w:lineRule="auto"/>
      <w:ind w:left="1620" w:hanging="180"/>
      <w:jc w:val="both"/>
    </w:pPr>
    <w:rPr>
      <w:rFonts w:ascii="Arial" w:eastAsia="Times New Roman" w:hAnsi="Arial" w:cs="Times New Roman"/>
      <w:sz w:val="18"/>
      <w:szCs w:val="24"/>
      <w:lang w:val="hu-HU" w:eastAsia="de-DE"/>
    </w:rPr>
  </w:style>
  <w:style w:type="paragraph" w:styleId="IndexHeading">
    <w:name w:val="index heading"/>
    <w:basedOn w:val="Normal"/>
    <w:next w:val="Index1"/>
    <w:uiPriority w:val="99"/>
    <w:semiHidden/>
    <w:unhideWhenUsed/>
    <w:rsid w:val="00170A1A"/>
    <w:pPr>
      <w:spacing w:before="60" w:after="140" w:line="220" w:lineRule="atLeast"/>
      <w:jc w:val="both"/>
    </w:pPr>
    <w:rPr>
      <w:rFonts w:asciiTheme="majorHAnsi" w:eastAsiaTheme="majorEastAsia" w:hAnsiTheme="majorHAnsi" w:cstheme="majorBidi"/>
      <w:b/>
      <w:bCs/>
      <w:sz w:val="18"/>
      <w:szCs w:val="24"/>
      <w:lang w:val="hu-HU" w:eastAsia="de-DE"/>
    </w:rPr>
  </w:style>
  <w:style w:type="paragraph" w:styleId="IntenseQuote">
    <w:name w:val="Intense Quote"/>
    <w:basedOn w:val="Normal"/>
    <w:next w:val="Normal"/>
    <w:link w:val="IntenseQuoteChar"/>
    <w:uiPriority w:val="30"/>
    <w:qFormat/>
    <w:rsid w:val="00170A1A"/>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hu-HU" w:eastAsia="de-DE"/>
    </w:rPr>
  </w:style>
  <w:style w:type="character" w:customStyle="1" w:styleId="IntenseQuoteChar">
    <w:name w:val="Intense Quote Char"/>
    <w:basedOn w:val="DefaultParagraphFont"/>
    <w:link w:val="IntenseQuote"/>
    <w:uiPriority w:val="30"/>
    <w:rsid w:val="00170A1A"/>
    <w:rPr>
      <w:rFonts w:ascii="Arial" w:eastAsia="Times New Roman" w:hAnsi="Arial" w:cs="Times New Roman"/>
      <w:i/>
      <w:iCs/>
      <w:color w:val="5B9BD5" w:themeColor="accent1"/>
      <w:sz w:val="18"/>
      <w:szCs w:val="24"/>
      <w:lang w:val="hu-HU" w:eastAsia="de-DE"/>
    </w:rPr>
  </w:style>
  <w:style w:type="paragraph" w:styleId="List">
    <w:name w:val="List"/>
    <w:basedOn w:val="Normal"/>
    <w:uiPriority w:val="99"/>
    <w:semiHidden/>
    <w:unhideWhenUsed/>
    <w:rsid w:val="00170A1A"/>
    <w:pPr>
      <w:spacing w:before="60" w:after="140" w:line="220" w:lineRule="atLeast"/>
      <w:ind w:left="283" w:hanging="283"/>
      <w:contextualSpacing/>
      <w:jc w:val="both"/>
    </w:pPr>
    <w:rPr>
      <w:rFonts w:ascii="Arial" w:eastAsia="Times New Roman" w:hAnsi="Arial" w:cs="Times New Roman"/>
      <w:sz w:val="18"/>
      <w:szCs w:val="24"/>
      <w:lang w:val="hu-HU" w:eastAsia="de-DE"/>
    </w:rPr>
  </w:style>
  <w:style w:type="paragraph" w:styleId="List2">
    <w:name w:val="List 2"/>
    <w:basedOn w:val="Normal"/>
    <w:uiPriority w:val="99"/>
    <w:semiHidden/>
    <w:unhideWhenUsed/>
    <w:rsid w:val="00170A1A"/>
    <w:pPr>
      <w:spacing w:before="60" w:after="140" w:line="220" w:lineRule="atLeast"/>
      <w:ind w:left="566" w:hanging="283"/>
      <w:contextualSpacing/>
      <w:jc w:val="both"/>
    </w:pPr>
    <w:rPr>
      <w:rFonts w:ascii="Arial" w:eastAsia="Times New Roman" w:hAnsi="Arial" w:cs="Times New Roman"/>
      <w:sz w:val="18"/>
      <w:szCs w:val="24"/>
      <w:lang w:val="hu-HU" w:eastAsia="de-DE"/>
    </w:rPr>
  </w:style>
  <w:style w:type="paragraph" w:styleId="List3">
    <w:name w:val="List 3"/>
    <w:basedOn w:val="Normal"/>
    <w:uiPriority w:val="99"/>
    <w:semiHidden/>
    <w:unhideWhenUsed/>
    <w:rsid w:val="00170A1A"/>
    <w:pPr>
      <w:spacing w:before="60" w:after="140" w:line="220" w:lineRule="atLeast"/>
      <w:ind w:left="849" w:hanging="283"/>
      <w:contextualSpacing/>
      <w:jc w:val="both"/>
    </w:pPr>
    <w:rPr>
      <w:rFonts w:ascii="Arial" w:eastAsia="Times New Roman" w:hAnsi="Arial" w:cs="Times New Roman"/>
      <w:sz w:val="18"/>
      <w:szCs w:val="24"/>
      <w:lang w:val="hu-HU" w:eastAsia="de-DE"/>
    </w:rPr>
  </w:style>
  <w:style w:type="paragraph" w:styleId="List4">
    <w:name w:val="List 4"/>
    <w:basedOn w:val="Normal"/>
    <w:uiPriority w:val="99"/>
    <w:semiHidden/>
    <w:unhideWhenUsed/>
    <w:rsid w:val="00170A1A"/>
    <w:pPr>
      <w:spacing w:before="60" w:after="140" w:line="220" w:lineRule="atLeast"/>
      <w:ind w:left="1132" w:hanging="283"/>
      <w:contextualSpacing/>
      <w:jc w:val="both"/>
    </w:pPr>
    <w:rPr>
      <w:rFonts w:ascii="Arial" w:eastAsia="Times New Roman" w:hAnsi="Arial" w:cs="Times New Roman"/>
      <w:sz w:val="18"/>
      <w:szCs w:val="24"/>
      <w:lang w:val="hu-HU" w:eastAsia="de-DE"/>
    </w:rPr>
  </w:style>
  <w:style w:type="paragraph" w:styleId="List5">
    <w:name w:val="List 5"/>
    <w:basedOn w:val="Normal"/>
    <w:uiPriority w:val="99"/>
    <w:semiHidden/>
    <w:unhideWhenUsed/>
    <w:rsid w:val="00170A1A"/>
    <w:pPr>
      <w:spacing w:before="60" w:after="140" w:line="220" w:lineRule="atLeast"/>
      <w:ind w:left="1415" w:hanging="283"/>
      <w:contextualSpacing/>
      <w:jc w:val="both"/>
    </w:pPr>
    <w:rPr>
      <w:rFonts w:ascii="Arial" w:eastAsia="Times New Roman" w:hAnsi="Arial" w:cs="Times New Roman"/>
      <w:sz w:val="18"/>
      <w:szCs w:val="24"/>
      <w:lang w:val="hu-HU" w:eastAsia="de-DE"/>
    </w:rPr>
  </w:style>
  <w:style w:type="paragraph" w:styleId="ListBullet">
    <w:name w:val="List Bullet"/>
    <w:basedOn w:val="Normal"/>
    <w:uiPriority w:val="99"/>
    <w:semiHidden/>
    <w:unhideWhenUsed/>
    <w:rsid w:val="00170A1A"/>
    <w:pPr>
      <w:numPr>
        <w:numId w:val="28"/>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Bullet2">
    <w:name w:val="List Bullet 2"/>
    <w:basedOn w:val="Normal"/>
    <w:uiPriority w:val="99"/>
    <w:semiHidden/>
    <w:unhideWhenUsed/>
    <w:rsid w:val="00170A1A"/>
    <w:pPr>
      <w:numPr>
        <w:numId w:val="29"/>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Bullet3">
    <w:name w:val="List Bullet 3"/>
    <w:basedOn w:val="Normal"/>
    <w:uiPriority w:val="99"/>
    <w:semiHidden/>
    <w:unhideWhenUsed/>
    <w:rsid w:val="00170A1A"/>
    <w:pPr>
      <w:numPr>
        <w:numId w:val="30"/>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Bullet4">
    <w:name w:val="List Bullet 4"/>
    <w:basedOn w:val="Normal"/>
    <w:uiPriority w:val="99"/>
    <w:semiHidden/>
    <w:unhideWhenUsed/>
    <w:rsid w:val="00170A1A"/>
    <w:pPr>
      <w:numPr>
        <w:numId w:val="31"/>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Bullet5">
    <w:name w:val="List Bullet 5"/>
    <w:basedOn w:val="Normal"/>
    <w:uiPriority w:val="99"/>
    <w:semiHidden/>
    <w:unhideWhenUsed/>
    <w:rsid w:val="00170A1A"/>
    <w:pPr>
      <w:numPr>
        <w:numId w:val="32"/>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Continue">
    <w:name w:val="List Continue"/>
    <w:basedOn w:val="Normal"/>
    <w:uiPriority w:val="99"/>
    <w:semiHidden/>
    <w:unhideWhenUsed/>
    <w:rsid w:val="00170A1A"/>
    <w:pPr>
      <w:spacing w:before="60" w:after="120" w:line="220" w:lineRule="atLeast"/>
      <w:ind w:left="283"/>
      <w:contextualSpacing/>
      <w:jc w:val="both"/>
    </w:pPr>
    <w:rPr>
      <w:rFonts w:ascii="Arial" w:eastAsia="Times New Roman" w:hAnsi="Arial" w:cs="Times New Roman"/>
      <w:sz w:val="18"/>
      <w:szCs w:val="24"/>
      <w:lang w:val="hu-HU" w:eastAsia="de-DE"/>
    </w:rPr>
  </w:style>
  <w:style w:type="paragraph" w:styleId="ListContinue2">
    <w:name w:val="List Continue 2"/>
    <w:basedOn w:val="Normal"/>
    <w:uiPriority w:val="99"/>
    <w:semiHidden/>
    <w:unhideWhenUsed/>
    <w:rsid w:val="00170A1A"/>
    <w:pPr>
      <w:spacing w:before="60" w:after="120" w:line="220" w:lineRule="atLeast"/>
      <w:ind w:left="566"/>
      <w:contextualSpacing/>
      <w:jc w:val="both"/>
    </w:pPr>
    <w:rPr>
      <w:rFonts w:ascii="Arial" w:eastAsia="Times New Roman" w:hAnsi="Arial" w:cs="Times New Roman"/>
      <w:sz w:val="18"/>
      <w:szCs w:val="24"/>
      <w:lang w:val="hu-HU" w:eastAsia="de-DE"/>
    </w:rPr>
  </w:style>
  <w:style w:type="paragraph" w:styleId="ListContinue3">
    <w:name w:val="List Continue 3"/>
    <w:basedOn w:val="Normal"/>
    <w:uiPriority w:val="99"/>
    <w:semiHidden/>
    <w:unhideWhenUsed/>
    <w:rsid w:val="00170A1A"/>
    <w:pPr>
      <w:spacing w:before="60" w:after="120" w:line="220" w:lineRule="atLeast"/>
      <w:ind w:left="849"/>
      <w:contextualSpacing/>
      <w:jc w:val="both"/>
    </w:pPr>
    <w:rPr>
      <w:rFonts w:ascii="Arial" w:eastAsia="Times New Roman" w:hAnsi="Arial" w:cs="Times New Roman"/>
      <w:sz w:val="18"/>
      <w:szCs w:val="24"/>
      <w:lang w:val="hu-HU" w:eastAsia="de-DE"/>
    </w:rPr>
  </w:style>
  <w:style w:type="paragraph" w:styleId="ListContinue4">
    <w:name w:val="List Continue 4"/>
    <w:basedOn w:val="Normal"/>
    <w:uiPriority w:val="99"/>
    <w:semiHidden/>
    <w:unhideWhenUsed/>
    <w:rsid w:val="00170A1A"/>
    <w:pPr>
      <w:spacing w:before="60" w:after="120" w:line="220" w:lineRule="atLeast"/>
      <w:ind w:left="1132"/>
      <w:contextualSpacing/>
      <w:jc w:val="both"/>
    </w:pPr>
    <w:rPr>
      <w:rFonts w:ascii="Arial" w:eastAsia="Times New Roman" w:hAnsi="Arial" w:cs="Times New Roman"/>
      <w:sz w:val="18"/>
      <w:szCs w:val="24"/>
      <w:lang w:val="hu-HU" w:eastAsia="de-DE"/>
    </w:rPr>
  </w:style>
  <w:style w:type="paragraph" w:styleId="ListContinue5">
    <w:name w:val="List Continue 5"/>
    <w:basedOn w:val="Normal"/>
    <w:uiPriority w:val="99"/>
    <w:semiHidden/>
    <w:unhideWhenUsed/>
    <w:rsid w:val="00170A1A"/>
    <w:pPr>
      <w:spacing w:before="60" w:after="120" w:line="220" w:lineRule="atLeast"/>
      <w:ind w:left="1415"/>
      <w:contextualSpacing/>
      <w:jc w:val="both"/>
    </w:pPr>
    <w:rPr>
      <w:rFonts w:ascii="Arial" w:eastAsia="Times New Roman" w:hAnsi="Arial" w:cs="Times New Roman"/>
      <w:sz w:val="18"/>
      <w:szCs w:val="24"/>
      <w:lang w:val="hu-HU" w:eastAsia="de-DE"/>
    </w:rPr>
  </w:style>
  <w:style w:type="paragraph" w:styleId="ListNumber">
    <w:name w:val="List Number"/>
    <w:basedOn w:val="Normal"/>
    <w:uiPriority w:val="99"/>
    <w:semiHidden/>
    <w:unhideWhenUsed/>
    <w:rsid w:val="00170A1A"/>
    <w:pPr>
      <w:numPr>
        <w:numId w:val="33"/>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Number2">
    <w:name w:val="List Number 2"/>
    <w:basedOn w:val="Normal"/>
    <w:uiPriority w:val="99"/>
    <w:semiHidden/>
    <w:unhideWhenUsed/>
    <w:rsid w:val="00170A1A"/>
    <w:pPr>
      <w:numPr>
        <w:numId w:val="34"/>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Number3">
    <w:name w:val="List Number 3"/>
    <w:basedOn w:val="Normal"/>
    <w:uiPriority w:val="99"/>
    <w:semiHidden/>
    <w:unhideWhenUsed/>
    <w:rsid w:val="00170A1A"/>
    <w:pPr>
      <w:numPr>
        <w:numId w:val="35"/>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Number4">
    <w:name w:val="List Number 4"/>
    <w:basedOn w:val="Normal"/>
    <w:uiPriority w:val="99"/>
    <w:semiHidden/>
    <w:unhideWhenUsed/>
    <w:rsid w:val="00170A1A"/>
    <w:pPr>
      <w:numPr>
        <w:numId w:val="36"/>
      </w:numPr>
      <w:spacing w:before="60" w:after="140" w:line="220" w:lineRule="atLeast"/>
      <w:contextualSpacing/>
      <w:jc w:val="both"/>
    </w:pPr>
    <w:rPr>
      <w:rFonts w:ascii="Arial" w:eastAsia="Times New Roman" w:hAnsi="Arial" w:cs="Times New Roman"/>
      <w:sz w:val="18"/>
      <w:szCs w:val="24"/>
      <w:lang w:val="hu-HU" w:eastAsia="de-DE"/>
    </w:rPr>
  </w:style>
  <w:style w:type="paragraph" w:styleId="ListNumber5">
    <w:name w:val="List Number 5"/>
    <w:basedOn w:val="Normal"/>
    <w:uiPriority w:val="99"/>
    <w:semiHidden/>
    <w:unhideWhenUsed/>
    <w:rsid w:val="00170A1A"/>
    <w:pPr>
      <w:numPr>
        <w:numId w:val="37"/>
      </w:numPr>
      <w:spacing w:before="60" w:after="140" w:line="220" w:lineRule="atLeast"/>
      <w:contextualSpacing/>
      <w:jc w:val="both"/>
    </w:pPr>
    <w:rPr>
      <w:rFonts w:ascii="Arial" w:eastAsia="Times New Roman" w:hAnsi="Arial" w:cs="Times New Roman"/>
      <w:sz w:val="18"/>
      <w:szCs w:val="24"/>
      <w:lang w:val="hu-HU" w:eastAsia="de-DE"/>
    </w:rPr>
  </w:style>
  <w:style w:type="paragraph" w:styleId="MacroText">
    <w:name w:val="macro"/>
    <w:link w:val="MacroTextChar"/>
    <w:uiPriority w:val="99"/>
    <w:semiHidden/>
    <w:unhideWhenUsed/>
    <w:rsid w:val="00170A1A"/>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hu-HU" w:eastAsia="de-DE"/>
    </w:rPr>
  </w:style>
  <w:style w:type="character" w:customStyle="1" w:styleId="MacroTextChar">
    <w:name w:val="Macro Text Char"/>
    <w:basedOn w:val="DefaultParagraphFont"/>
    <w:link w:val="MacroText"/>
    <w:uiPriority w:val="99"/>
    <w:semiHidden/>
    <w:rsid w:val="00170A1A"/>
    <w:rPr>
      <w:rFonts w:ascii="Consolas" w:eastAsia="Times New Roman" w:hAnsi="Consolas" w:cs="Times New Roman"/>
      <w:sz w:val="20"/>
      <w:szCs w:val="20"/>
      <w:lang w:val="hu-HU" w:eastAsia="de-DE"/>
    </w:rPr>
  </w:style>
  <w:style w:type="paragraph" w:styleId="MessageHeader">
    <w:name w:val="Message Header"/>
    <w:basedOn w:val="Normal"/>
    <w:link w:val="MessageHeaderChar"/>
    <w:uiPriority w:val="99"/>
    <w:semiHidden/>
    <w:unhideWhenUsed/>
    <w:rsid w:val="00170A1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hu-HU" w:eastAsia="de-DE"/>
    </w:rPr>
  </w:style>
  <w:style w:type="character" w:customStyle="1" w:styleId="MessageHeaderChar">
    <w:name w:val="Message Header Char"/>
    <w:basedOn w:val="DefaultParagraphFont"/>
    <w:link w:val="MessageHeader"/>
    <w:uiPriority w:val="99"/>
    <w:semiHidden/>
    <w:rsid w:val="00170A1A"/>
    <w:rPr>
      <w:rFonts w:asciiTheme="majorHAnsi" w:eastAsiaTheme="majorEastAsia" w:hAnsiTheme="majorHAnsi" w:cstheme="majorBidi"/>
      <w:sz w:val="24"/>
      <w:szCs w:val="24"/>
      <w:shd w:val="pct20" w:color="auto" w:fill="auto"/>
      <w:lang w:val="hu-HU" w:eastAsia="de-DE"/>
    </w:rPr>
  </w:style>
  <w:style w:type="paragraph" w:styleId="NormalIndent">
    <w:name w:val="Normal Indent"/>
    <w:basedOn w:val="Normal"/>
    <w:uiPriority w:val="99"/>
    <w:semiHidden/>
    <w:unhideWhenUsed/>
    <w:rsid w:val="00170A1A"/>
    <w:pPr>
      <w:spacing w:before="60" w:after="140" w:line="220" w:lineRule="atLeast"/>
      <w:ind w:left="708"/>
      <w:jc w:val="both"/>
    </w:pPr>
    <w:rPr>
      <w:rFonts w:ascii="Arial" w:eastAsia="Times New Roman" w:hAnsi="Arial" w:cs="Times New Roman"/>
      <w:sz w:val="18"/>
      <w:szCs w:val="24"/>
      <w:lang w:val="hu-HU" w:eastAsia="de-DE"/>
    </w:rPr>
  </w:style>
  <w:style w:type="paragraph" w:styleId="NoteHeading">
    <w:name w:val="Note Heading"/>
    <w:basedOn w:val="Normal"/>
    <w:next w:val="Normal"/>
    <w:link w:val="NoteHeadingChar"/>
    <w:uiPriority w:val="99"/>
    <w:semiHidden/>
    <w:unhideWhenUsed/>
    <w:rsid w:val="00170A1A"/>
    <w:pPr>
      <w:spacing w:after="0" w:line="240" w:lineRule="auto"/>
      <w:jc w:val="both"/>
    </w:pPr>
    <w:rPr>
      <w:rFonts w:ascii="Arial" w:eastAsia="Times New Roman" w:hAnsi="Arial" w:cs="Times New Roman"/>
      <w:sz w:val="18"/>
      <w:szCs w:val="24"/>
      <w:lang w:val="hu-HU" w:eastAsia="de-DE"/>
    </w:rPr>
  </w:style>
  <w:style w:type="character" w:customStyle="1" w:styleId="NoteHeadingChar">
    <w:name w:val="Note Heading Char"/>
    <w:basedOn w:val="DefaultParagraphFont"/>
    <w:link w:val="NoteHeading"/>
    <w:uiPriority w:val="99"/>
    <w:semiHidden/>
    <w:rsid w:val="00170A1A"/>
    <w:rPr>
      <w:rFonts w:ascii="Arial" w:eastAsia="Times New Roman" w:hAnsi="Arial" w:cs="Times New Roman"/>
      <w:sz w:val="18"/>
      <w:szCs w:val="24"/>
      <w:lang w:val="hu-HU" w:eastAsia="de-DE"/>
    </w:rPr>
  </w:style>
  <w:style w:type="paragraph" w:styleId="PlainText">
    <w:name w:val="Plain Text"/>
    <w:basedOn w:val="Normal"/>
    <w:link w:val="PlainTextChar"/>
    <w:uiPriority w:val="99"/>
    <w:semiHidden/>
    <w:unhideWhenUsed/>
    <w:rsid w:val="00170A1A"/>
    <w:pPr>
      <w:spacing w:after="0" w:line="240" w:lineRule="auto"/>
      <w:jc w:val="both"/>
    </w:pPr>
    <w:rPr>
      <w:rFonts w:ascii="Consolas" w:eastAsia="Times New Roman" w:hAnsi="Consolas" w:cs="Times New Roman"/>
      <w:sz w:val="21"/>
      <w:szCs w:val="21"/>
      <w:lang w:val="hu-HU" w:eastAsia="de-DE"/>
    </w:rPr>
  </w:style>
  <w:style w:type="character" w:customStyle="1" w:styleId="PlainTextChar">
    <w:name w:val="Plain Text Char"/>
    <w:basedOn w:val="DefaultParagraphFont"/>
    <w:link w:val="PlainText"/>
    <w:uiPriority w:val="99"/>
    <w:semiHidden/>
    <w:rsid w:val="00170A1A"/>
    <w:rPr>
      <w:rFonts w:ascii="Consolas" w:eastAsia="Times New Roman" w:hAnsi="Consolas" w:cs="Times New Roman"/>
      <w:sz w:val="21"/>
      <w:szCs w:val="21"/>
      <w:lang w:val="hu-HU" w:eastAsia="de-DE"/>
    </w:rPr>
  </w:style>
  <w:style w:type="paragraph" w:styleId="Quote">
    <w:name w:val="Quote"/>
    <w:basedOn w:val="Normal"/>
    <w:next w:val="Normal"/>
    <w:link w:val="QuoteChar"/>
    <w:uiPriority w:val="29"/>
    <w:qFormat/>
    <w:rsid w:val="00170A1A"/>
    <w:pPr>
      <w:spacing w:before="200" w:line="220" w:lineRule="atLeast"/>
      <w:ind w:left="864" w:right="864"/>
      <w:jc w:val="center"/>
    </w:pPr>
    <w:rPr>
      <w:rFonts w:ascii="Arial" w:eastAsia="Times New Roman" w:hAnsi="Arial" w:cs="Times New Roman"/>
      <w:i/>
      <w:iCs/>
      <w:color w:val="404040" w:themeColor="text1" w:themeTint="BF"/>
      <w:sz w:val="18"/>
      <w:szCs w:val="24"/>
      <w:lang w:val="hu-HU" w:eastAsia="de-DE"/>
    </w:rPr>
  </w:style>
  <w:style w:type="character" w:customStyle="1" w:styleId="QuoteChar">
    <w:name w:val="Quote Char"/>
    <w:basedOn w:val="DefaultParagraphFont"/>
    <w:link w:val="Quote"/>
    <w:uiPriority w:val="29"/>
    <w:rsid w:val="00170A1A"/>
    <w:rPr>
      <w:rFonts w:ascii="Arial" w:eastAsia="Times New Roman" w:hAnsi="Arial" w:cs="Times New Roman"/>
      <w:i/>
      <w:iCs/>
      <w:color w:val="404040" w:themeColor="text1" w:themeTint="BF"/>
      <w:sz w:val="18"/>
      <w:szCs w:val="24"/>
      <w:lang w:val="hu-HU" w:eastAsia="de-DE"/>
    </w:rPr>
  </w:style>
  <w:style w:type="paragraph" w:styleId="Salutation">
    <w:name w:val="Salutation"/>
    <w:basedOn w:val="Normal"/>
    <w:next w:val="Normal"/>
    <w:link w:val="SalutationChar"/>
    <w:uiPriority w:val="99"/>
    <w:semiHidden/>
    <w:unhideWhenUsed/>
    <w:rsid w:val="00170A1A"/>
    <w:pPr>
      <w:spacing w:before="60" w:after="140" w:line="220" w:lineRule="atLeast"/>
      <w:jc w:val="both"/>
    </w:pPr>
    <w:rPr>
      <w:rFonts w:ascii="Arial" w:eastAsia="Times New Roman" w:hAnsi="Arial" w:cs="Times New Roman"/>
      <w:sz w:val="18"/>
      <w:szCs w:val="24"/>
      <w:lang w:val="hu-HU" w:eastAsia="de-DE"/>
    </w:rPr>
  </w:style>
  <w:style w:type="character" w:customStyle="1" w:styleId="SalutationChar">
    <w:name w:val="Salutation Char"/>
    <w:basedOn w:val="DefaultParagraphFont"/>
    <w:link w:val="Salutation"/>
    <w:uiPriority w:val="99"/>
    <w:semiHidden/>
    <w:rsid w:val="00170A1A"/>
    <w:rPr>
      <w:rFonts w:ascii="Arial" w:eastAsia="Times New Roman" w:hAnsi="Arial" w:cs="Times New Roman"/>
      <w:sz w:val="18"/>
      <w:szCs w:val="24"/>
      <w:lang w:val="hu-HU" w:eastAsia="de-DE"/>
    </w:rPr>
  </w:style>
  <w:style w:type="paragraph" w:styleId="Signature">
    <w:name w:val="Signature"/>
    <w:basedOn w:val="Normal"/>
    <w:link w:val="SignatureChar"/>
    <w:uiPriority w:val="99"/>
    <w:semiHidden/>
    <w:unhideWhenUsed/>
    <w:rsid w:val="00170A1A"/>
    <w:pPr>
      <w:spacing w:after="0" w:line="240" w:lineRule="auto"/>
      <w:ind w:left="4252"/>
      <w:jc w:val="both"/>
    </w:pPr>
    <w:rPr>
      <w:rFonts w:ascii="Arial" w:eastAsia="Times New Roman" w:hAnsi="Arial" w:cs="Times New Roman"/>
      <w:sz w:val="18"/>
      <w:szCs w:val="24"/>
      <w:lang w:val="hu-HU" w:eastAsia="de-DE"/>
    </w:rPr>
  </w:style>
  <w:style w:type="character" w:customStyle="1" w:styleId="SignatureChar">
    <w:name w:val="Signature Char"/>
    <w:basedOn w:val="DefaultParagraphFont"/>
    <w:link w:val="Signature"/>
    <w:uiPriority w:val="99"/>
    <w:semiHidden/>
    <w:rsid w:val="00170A1A"/>
    <w:rPr>
      <w:rFonts w:ascii="Arial" w:eastAsia="Times New Roman" w:hAnsi="Arial" w:cs="Times New Roman"/>
      <w:sz w:val="18"/>
      <w:szCs w:val="24"/>
      <w:lang w:val="hu-HU" w:eastAsia="de-DE"/>
    </w:rPr>
  </w:style>
  <w:style w:type="paragraph" w:styleId="TableofAuthorities">
    <w:name w:val="table of authorities"/>
    <w:basedOn w:val="Normal"/>
    <w:next w:val="Normal"/>
    <w:uiPriority w:val="99"/>
    <w:semiHidden/>
    <w:unhideWhenUsed/>
    <w:rsid w:val="00170A1A"/>
    <w:pPr>
      <w:spacing w:before="60" w:after="0" w:line="220" w:lineRule="atLeast"/>
      <w:ind w:left="180" w:hanging="180"/>
      <w:jc w:val="both"/>
    </w:pPr>
    <w:rPr>
      <w:rFonts w:ascii="Arial" w:eastAsia="Times New Roman" w:hAnsi="Arial" w:cs="Times New Roman"/>
      <w:sz w:val="18"/>
      <w:szCs w:val="24"/>
      <w:lang w:val="hu-HU" w:eastAsia="de-DE"/>
    </w:rPr>
  </w:style>
  <w:style w:type="paragraph" w:styleId="TOAHeading">
    <w:name w:val="toa heading"/>
    <w:basedOn w:val="Normal"/>
    <w:next w:val="Normal"/>
    <w:uiPriority w:val="99"/>
    <w:semiHidden/>
    <w:unhideWhenUsed/>
    <w:rsid w:val="00170A1A"/>
    <w:pPr>
      <w:spacing w:before="120" w:after="140" w:line="220" w:lineRule="atLeast"/>
      <w:jc w:val="both"/>
    </w:pPr>
    <w:rPr>
      <w:rFonts w:asciiTheme="majorHAnsi" w:eastAsiaTheme="majorEastAsia" w:hAnsiTheme="majorHAnsi" w:cstheme="majorBidi"/>
      <w:b/>
      <w:bCs/>
      <w:sz w:val="24"/>
      <w:szCs w:val="24"/>
      <w:lang w:val="hu-HU" w:eastAsia="de-DE"/>
    </w:rPr>
  </w:style>
  <w:style w:type="paragraph" w:styleId="TOC4">
    <w:name w:val="toc 4"/>
    <w:basedOn w:val="Normal"/>
    <w:next w:val="Normal"/>
    <w:autoRedefine/>
    <w:uiPriority w:val="39"/>
    <w:semiHidden/>
    <w:unhideWhenUsed/>
    <w:rsid w:val="00170A1A"/>
    <w:pPr>
      <w:spacing w:before="60" w:after="100" w:line="220" w:lineRule="atLeast"/>
      <w:ind w:left="540"/>
      <w:jc w:val="both"/>
    </w:pPr>
    <w:rPr>
      <w:rFonts w:ascii="Arial" w:eastAsia="Times New Roman" w:hAnsi="Arial" w:cs="Times New Roman"/>
      <w:sz w:val="18"/>
      <w:szCs w:val="24"/>
      <w:lang w:val="hu-HU" w:eastAsia="de-DE"/>
    </w:rPr>
  </w:style>
  <w:style w:type="paragraph" w:styleId="TOC5">
    <w:name w:val="toc 5"/>
    <w:basedOn w:val="Normal"/>
    <w:next w:val="Normal"/>
    <w:autoRedefine/>
    <w:uiPriority w:val="39"/>
    <w:semiHidden/>
    <w:unhideWhenUsed/>
    <w:rsid w:val="00170A1A"/>
    <w:pPr>
      <w:spacing w:before="60" w:after="100" w:line="220" w:lineRule="atLeast"/>
      <w:ind w:left="720"/>
      <w:jc w:val="both"/>
    </w:pPr>
    <w:rPr>
      <w:rFonts w:ascii="Arial" w:eastAsia="Times New Roman" w:hAnsi="Arial" w:cs="Times New Roman"/>
      <w:sz w:val="18"/>
      <w:szCs w:val="24"/>
      <w:lang w:val="hu-HU" w:eastAsia="de-DE"/>
    </w:rPr>
  </w:style>
  <w:style w:type="paragraph" w:styleId="TOC6">
    <w:name w:val="toc 6"/>
    <w:basedOn w:val="Normal"/>
    <w:next w:val="Normal"/>
    <w:autoRedefine/>
    <w:uiPriority w:val="39"/>
    <w:semiHidden/>
    <w:unhideWhenUsed/>
    <w:rsid w:val="00170A1A"/>
    <w:pPr>
      <w:spacing w:before="60" w:after="100" w:line="220" w:lineRule="atLeast"/>
      <w:ind w:left="900"/>
      <w:jc w:val="both"/>
    </w:pPr>
    <w:rPr>
      <w:rFonts w:ascii="Arial" w:eastAsia="Times New Roman" w:hAnsi="Arial" w:cs="Times New Roman"/>
      <w:sz w:val="18"/>
      <w:szCs w:val="24"/>
      <w:lang w:val="hu-HU" w:eastAsia="de-DE"/>
    </w:rPr>
  </w:style>
  <w:style w:type="paragraph" w:styleId="TOC7">
    <w:name w:val="toc 7"/>
    <w:basedOn w:val="Normal"/>
    <w:next w:val="Normal"/>
    <w:autoRedefine/>
    <w:uiPriority w:val="39"/>
    <w:semiHidden/>
    <w:unhideWhenUsed/>
    <w:rsid w:val="00170A1A"/>
    <w:pPr>
      <w:spacing w:before="60" w:after="100" w:line="220" w:lineRule="atLeast"/>
      <w:ind w:left="1080"/>
      <w:jc w:val="both"/>
    </w:pPr>
    <w:rPr>
      <w:rFonts w:ascii="Arial" w:eastAsia="Times New Roman" w:hAnsi="Arial" w:cs="Times New Roman"/>
      <w:sz w:val="18"/>
      <w:szCs w:val="24"/>
      <w:lang w:val="hu-HU" w:eastAsia="de-DE"/>
    </w:rPr>
  </w:style>
  <w:style w:type="paragraph" w:styleId="TOC8">
    <w:name w:val="toc 8"/>
    <w:basedOn w:val="Normal"/>
    <w:next w:val="Normal"/>
    <w:autoRedefine/>
    <w:uiPriority w:val="39"/>
    <w:semiHidden/>
    <w:unhideWhenUsed/>
    <w:rsid w:val="00170A1A"/>
    <w:pPr>
      <w:spacing w:before="60" w:after="100" w:line="220" w:lineRule="atLeast"/>
      <w:ind w:left="1260"/>
      <w:jc w:val="both"/>
    </w:pPr>
    <w:rPr>
      <w:rFonts w:ascii="Arial" w:eastAsia="Times New Roman" w:hAnsi="Arial" w:cs="Times New Roman"/>
      <w:sz w:val="18"/>
      <w:szCs w:val="24"/>
      <w:lang w:val="hu-HU" w:eastAsia="de-DE"/>
    </w:rPr>
  </w:style>
  <w:style w:type="paragraph" w:styleId="TOC9">
    <w:name w:val="toc 9"/>
    <w:basedOn w:val="Normal"/>
    <w:next w:val="Normal"/>
    <w:autoRedefine/>
    <w:uiPriority w:val="39"/>
    <w:semiHidden/>
    <w:unhideWhenUsed/>
    <w:rsid w:val="00170A1A"/>
    <w:pPr>
      <w:spacing w:before="60" w:after="100" w:line="220" w:lineRule="atLeast"/>
      <w:ind w:left="1440"/>
      <w:jc w:val="both"/>
    </w:pPr>
    <w:rPr>
      <w:rFonts w:ascii="Arial" w:eastAsia="Times New Roman" w:hAnsi="Arial" w:cs="Times New Roman"/>
      <w:sz w:val="18"/>
      <w:szCs w:val="24"/>
      <w:lang w:val="hu-HU" w:eastAsia="de-DE"/>
    </w:rPr>
  </w:style>
  <w:style w:type="paragraph" w:styleId="TOCHeading">
    <w:name w:val="TOC Heading"/>
    <w:basedOn w:val="Heading1"/>
    <w:next w:val="Normal"/>
    <w:uiPriority w:val="39"/>
    <w:semiHidden/>
    <w:unhideWhenUsed/>
    <w:qFormat/>
    <w:rsid w:val="00170A1A"/>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emf"/><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png"/><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3.png"/><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7.emf"/><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footer" Target="footer4.xml"/><Relationship Id="rId36" Type="http://schemas.openxmlformats.org/officeDocument/2006/relationships/image" Target="media/image19.png"/><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image" Target="media/image14.emf"/><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2.png"/><Relationship Id="rId34" Type="http://schemas.openxmlformats.org/officeDocument/2006/relationships/image" Target="media/image17.emf"/><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who.int/workforcealliance/knowledge/toolkit/33.pdf" TargetMode="External"/><Relationship Id="rId13" Type="http://schemas.openxmlformats.org/officeDocument/2006/relationships/hyperlink" Target="https://enrd.ec.europa.eu/en/networking/network-self-assessment"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c.europa.eu/agriculture/cap-post-2013/monitoring-evaluation/index_en.htm" TargetMode="External"/><Relationship Id="rId39" Type="http://schemas.openxmlformats.org/officeDocument/2006/relationships/hyperlink" Target="https://en.wikipedia.org/wiki/Collective_intelligence" TargetMode="External"/><Relationship Id="rId3" Type="http://schemas.openxmlformats.org/officeDocument/2006/relationships/hyperlink" Target="http://enrd.ec.europa.eu/en/evaluation-helpdesks-publications" TargetMode="External"/><Relationship Id="rId21" Type="http://schemas.openxmlformats.org/officeDocument/2006/relationships/hyperlink" Target="http://enrd.ec.europa.eu/enrd-static/evaluation/good-practices-workshops/national-rural-network-programmes/en/national-rural-network-programmes_en.html" TargetMode="External"/><Relationship Id="rId34" Type="http://schemas.openxmlformats.org/officeDocument/2006/relationships/hyperlink" Target="http://avitem.org/IMG/pdf/cuaderno_resindex_eng.pdf" TargetMode="External"/><Relationship Id="rId42" Type="http://schemas.openxmlformats.org/officeDocument/2006/relationships/hyperlink" Target="http://enrd.ec.europa.eu/enrd-static/networks-and-networking/nrn-self-assessment-tool-kit/practical-tools-for-nrn-self-assessment/en/practical-tools-for-nrn-self-assessment_en.html" TargetMode="External"/><Relationship Id="rId7" Type="http://schemas.openxmlformats.org/officeDocument/2006/relationships/hyperlink" Target="https://enrd.ec.europa.eu/sites/enrd/files/assets/pdf/evaluation/national-rural-networks/GPW_10_NRN_shape.pdf" TargetMode="External"/><Relationship Id="rId12" Type="http://schemas.openxmlformats.org/officeDocument/2006/relationships/hyperlink" Target="http://enrd.ec.europa.eu/networks-and-networking/nrn-toolkit/en/nrn-toolkit_en.cfm" TargetMode="External"/><Relationship Id="rId17" Type="http://schemas.openxmlformats.org/officeDocument/2006/relationships/hyperlink" Target="http://enrd.ec.europa.eu/en/evaluation-helpdesks-publications"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documents.worldbank.org/curated/en/2004/01/3050371/measuring-social-capital-integrated-questionnaire" TargetMode="External"/><Relationship Id="rId38" Type="http://schemas.openxmlformats.org/officeDocument/2006/relationships/hyperlink" Target="https://kwiksurveys.com/%20" TargetMode="External"/><Relationship Id="rId46" Type="http://schemas.openxmlformats.org/officeDocument/2006/relationships/hyperlink" Target="http://ec.europa.eu/agriculture/evaluation/rural-development-reports/2014/investment-support-rdp/fulltext_en.pdf" TargetMode="External"/><Relationship Id="rId2" Type="http://schemas.openxmlformats.org/officeDocument/2006/relationships/hyperlink" Target="http://enrd.ec.europa.eu/app_templates/enrd_assets/pdf/evaluation/EP_Guidelines_Draft_March2014.pdf" TargetMode="External"/><Relationship Id="rId16" Type="http://schemas.openxmlformats.org/officeDocument/2006/relationships/hyperlink" Target="http://enrd.ec.europa.eu/app_templates/enrd_assets/pdf/gateway/guidance-fiche-art54-nrn-draft-jan2014.pdf" TargetMode="External"/><Relationship Id="rId20" Type="http://schemas.openxmlformats.org/officeDocument/2006/relationships/hyperlink" Target="http://ec.europa.eu/smart-regulation/guidelines/tool_13_en.htm" TargetMode="External"/><Relationship Id="rId29" Type="http://schemas.openxmlformats.org/officeDocument/2006/relationships/hyperlink" Target="http://ec.europa.eu/agriculture/rurdev/eval/guidance/note_b_en.pdf" TargetMode="External"/><Relationship Id="rId41" Type="http://schemas.openxmlformats.org/officeDocument/2006/relationships/hyperlink" Target="http://asgpp.org/pdf/psychodrama.conciseintro.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enrd.ec.europa.eu/app_templates/enrd_assets/pdf/evaluation/EP_Guidelines_Draft_March2014.pdf" TargetMode="External"/><Relationship Id="rId11" Type="http://schemas.openxmlformats.org/officeDocument/2006/relationships/hyperlink" Target="http://enrd.ec.europa.eu/enrd-static/networks-and-networking/nrn-toolkit/principles-and-practice-of-networking/network-definitions-and-diversity/en/rural-networks-and-networking_en.html" TargetMode="External"/><Relationship Id="rId24" Type="http://schemas.openxmlformats.org/officeDocument/2006/relationships/hyperlink" Target="http://enrd.ec.europa.eu/app_templates/filedownload.cfm?id=872FF4F3-F76A-CCF3-63D8-A0B1FB70F601" TargetMode="External"/><Relationship Id="rId32" Type="http://schemas.openxmlformats.org/officeDocument/2006/relationships/hyperlink" Target="http://enrd.ec.europa.eu/enrd-static/evaluation/library/evaluation-helpdesk-publications/en/evaluation-helpdesk-publications_en.html" TargetMode="External"/><Relationship Id="rId37" Type="http://schemas.openxmlformats.org/officeDocument/2006/relationships/hyperlink" Target="https://www.surveymonkey.com/" TargetMode="External"/><Relationship Id="rId40" Type="http://schemas.openxmlformats.org/officeDocument/2006/relationships/hyperlink" Target="http://ec.europa.eu/regional_policy/archive/conferences/evaluation2009/abstracts/martinuzzi.pdf" TargetMode="External"/><Relationship Id="rId45" Type="http://schemas.openxmlformats.org/officeDocument/2006/relationships/hyperlink" Target="http://enrd.ec.europa.eu/enrd-static/evaluation/library/evaluation-helpdesk-publications/en/evaluation-helpdesk-publications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s://enrd.ec.europa.eu/en/evaluation-helpdesks-publications" TargetMode="External"/><Relationship Id="rId23" Type="http://schemas.openxmlformats.org/officeDocument/2006/relationships/hyperlink" Target="http://enrd.ec.europa.eu/enrd-static/evaluation/library/evaluation-helpdesk-publications/en/evaluation-helpdesk-publications_en.html" TargetMode="External"/><Relationship Id="rId28" Type="http://schemas.openxmlformats.org/officeDocument/2006/relationships/hyperlink" Target="http://enrd.ec.europa.eu/app_templates/filedownload.cfm?id=83C6EDCD-9413-1C64-4EAA-1E4E8EC9ED3E" TargetMode="External"/><Relationship Id="rId36" Type="http://schemas.openxmlformats.org/officeDocument/2006/relationships/hyperlink" Target="http://enrd.ec.europa.eu/enrd-static/evaluation/library/evaluation-helpdesk-publications/en/evaluation-helpdesk-publications_en.html" TargetMode="External"/><Relationship Id="rId10" Type="http://schemas.openxmlformats.org/officeDocument/2006/relationships/hyperlink" Target="http://www.fao.org/docrep/008/y5702e/y5702e00.htm" TargetMode="External"/><Relationship Id="rId19" Type="http://schemas.openxmlformats.org/officeDocument/2006/relationships/hyperlink" Target="http://enrd.ec.europa.eu/enrd-static/app_templates/enrd_assets/pdf/guidebook/nrn_handbook_webversion.pdf" TargetMode="External"/><Relationship Id="rId31" Type="http://schemas.openxmlformats.org/officeDocument/2006/relationships/hyperlink" Target="http://ec.europa.eu/dgs/internal_market/docs/evaluation/evaluation_guide_annexes.pdf" TargetMode="External"/><Relationship Id="rId44" Type="http://schemas.openxmlformats.org/officeDocument/2006/relationships/hyperlink" Target="https://en.wikipedia.org/wiki/Behavior" TargetMode="External"/><Relationship Id="rId4" Type="http://schemas.openxmlformats.org/officeDocument/2006/relationships/hyperlink" Target="http://enrd.ec.europa.eu/app_templates/filedownload.cfm?id=7797A2AE-91CD-8D82-C9DB-D30E043439F1" TargetMode="External"/><Relationship Id="rId9" Type="http://schemas.openxmlformats.org/officeDocument/2006/relationships/hyperlink" Target="http://www1.worldbank.org/publicsector/anticorrupt/PoliticalEconomy/stakeholderanalysis.htm" TargetMode="External"/><Relationship Id="rId14" Type="http://schemas.openxmlformats.org/officeDocument/2006/relationships/hyperlink" Target="http://ec.europa.eu/smart-regulation/guidelines/tool_13_en.htm" TargetMode="External"/><Relationship Id="rId22" Type="http://schemas.openxmlformats.org/officeDocument/2006/relationships/hyperlink" Target="http://enrd.ec.europa.eu/enrd-static/evaluation/good-practices-workshops/national-rural-networks/en/national-rural-networks_en.html" TargetMode="External"/><Relationship Id="rId27" Type="http://schemas.openxmlformats.org/officeDocument/2006/relationships/hyperlink" Target="http://enrd.ec.europa.eu/app_templates/filedownload.cfm?id=83C6EDCD-9413-1C64-4EAA-1E4E8EC9ED3E" TargetMode="External"/><Relationship Id="rId30" Type="http://schemas.openxmlformats.org/officeDocument/2006/relationships/hyperlink" Target="http://www.wfp.org/evaluation/methods-and-tools/eqas-evaluation-quality-assurance-system" TargetMode="External"/><Relationship Id="rId35" Type="http://schemas.openxmlformats.org/officeDocument/2006/relationships/hyperlink" Target="http://www.iareg.org/fileadmin/iareg/media/papers/WP2_02.pdf" TargetMode="External"/><Relationship Id="rId43" Type="http://schemas.openxmlformats.org/officeDocument/2006/relationships/hyperlink" Target="https://enrd.ec.europa.eu/sites/enrd/files/assets/pdf/evaluation/national-rural-networks/GPW10_Scotlan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74542DB-0B2A-47A8-92BA-C3B9BCF56602}"/>
</file>

<file path=customXml/itemProps2.xml><?xml version="1.0" encoding="utf-8"?>
<ds:datastoreItem xmlns:ds="http://schemas.openxmlformats.org/officeDocument/2006/customXml" ds:itemID="{732AB30E-AA31-46C3-B309-7F4AD1606C2E}"/>
</file>

<file path=customXml/itemProps3.xml><?xml version="1.0" encoding="utf-8"?>
<ds:datastoreItem xmlns:ds="http://schemas.openxmlformats.org/officeDocument/2006/customXml" ds:itemID="{32BC5B6B-BA43-4B34-B62E-57714140C62B}"/>
</file>

<file path=docProps/app.xml><?xml version="1.0" encoding="utf-8"?>
<Properties xmlns="http://schemas.openxmlformats.org/officeDocument/2006/extended-properties" xmlns:vt="http://schemas.openxmlformats.org/officeDocument/2006/docPropsVTypes">
  <Template>Normal</Template>
  <TotalTime>2</TotalTime>
  <Pages>128</Pages>
  <Words>43134</Words>
  <Characters>245865</Characters>
  <Application>Microsoft Office Word</Application>
  <DocSecurity>0</DocSecurity>
  <Lines>2048</Lines>
  <Paragraphs>576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2016-10-24T15:48:00Z</dcterms:created>
  <dcterms:modified xsi:type="dcterms:W3CDTF">2016-10-24T15:50:00Z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